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61C43" w:rsidRPr="00E61C43" w:rsidRDefault="00E61C43" w:rsidP="00E61C43">
      <w:pPr>
        <w:spacing w:after="360" w:line="300" w:lineRule="auto"/>
        <w:jc w:val="center"/>
        <w:rPr>
          <w:rFonts w:ascii="Open Sans" w:eastAsia="Calibri" w:hAnsi="Open Sans" w:cs="Open Sans"/>
          <w:bCs/>
          <w:sz w:val="21"/>
          <w:szCs w:val="21"/>
        </w:rPr>
      </w:pPr>
      <w:r w:rsidRPr="00E61C43">
        <w:rPr>
          <w:rFonts w:ascii="Open Sans" w:eastAsia="Calibri" w:hAnsi="Open Sans" w:cs="Open Sans"/>
          <w:noProof/>
        </w:rPr>
        <w:drawing>
          <wp:inline distT="0" distB="0" distL="0" distR="0" wp14:anchorId="3374F702" wp14:editId="2934D1D5">
            <wp:extent cx="914400" cy="101790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914400" cy="1017905"/>
                    </a:xfrm>
                    <a:prstGeom prst="rect">
                      <a:avLst/>
                    </a:prstGeom>
                    <a:noFill/>
                  </pic:spPr>
                </pic:pic>
              </a:graphicData>
            </a:graphic>
          </wp:inline>
        </w:drawing>
      </w:r>
    </w:p>
    <w:p w:rsidR="00E61C43" w:rsidRPr="00E61C43" w:rsidRDefault="00E61C43" w:rsidP="00E61C43">
      <w:pPr>
        <w:widowControl w:val="0"/>
        <w:spacing w:after="0" w:line="240" w:lineRule="auto"/>
        <w:jc w:val="center"/>
        <w:rPr>
          <w:rFonts w:ascii="PermianSlabSerifTypeface" w:eastAsia="Calibri" w:hAnsi="PermianSlabSerifTypeface" w:cs="Open Sans"/>
          <w:b/>
        </w:rPr>
      </w:pPr>
      <w:r w:rsidRPr="00E61C43">
        <w:rPr>
          <w:rFonts w:ascii="PermianSlabSerifTypeface" w:eastAsia="Calibri" w:hAnsi="PermianSlabSerifTypeface" w:cs="Open Sans"/>
          <w:b/>
        </w:rPr>
        <w:t>STATE OF TENNESSEE</w:t>
      </w:r>
    </w:p>
    <w:p w:rsidR="00E61C43" w:rsidRPr="00E61C43" w:rsidRDefault="00E61C43" w:rsidP="00E61C43">
      <w:pPr>
        <w:widowControl w:val="0"/>
        <w:spacing w:after="0" w:line="240" w:lineRule="auto"/>
        <w:jc w:val="center"/>
        <w:rPr>
          <w:rFonts w:ascii="PermianSlabSerifTypeface" w:eastAsia="Calibri" w:hAnsi="PermianSlabSerifTypeface" w:cs="Open Sans"/>
          <w:b/>
        </w:rPr>
      </w:pPr>
    </w:p>
    <w:p w:rsidR="00E61C43" w:rsidRPr="00E61C43" w:rsidRDefault="00E61C43" w:rsidP="00E61C43">
      <w:pPr>
        <w:widowControl w:val="0"/>
        <w:spacing w:after="0" w:line="240" w:lineRule="auto"/>
        <w:jc w:val="center"/>
        <w:rPr>
          <w:rFonts w:ascii="PermianSlabSerifTypeface" w:eastAsia="Calibri" w:hAnsi="PermianSlabSerifTypeface" w:cs="Open Sans"/>
          <w:b/>
          <w:sz w:val="36"/>
          <w:szCs w:val="36"/>
        </w:rPr>
      </w:pPr>
      <w:r w:rsidRPr="00E61C43">
        <w:rPr>
          <w:rFonts w:ascii="PermianSlabSerifTypeface" w:eastAsia="Calibri" w:hAnsi="PermianSlabSerifTypeface" w:cs="Open Sans"/>
          <w:b/>
          <w:sz w:val="36"/>
          <w:szCs w:val="36"/>
        </w:rPr>
        <w:t>STATE HEALTH PLAN</w:t>
      </w:r>
    </w:p>
    <w:p w:rsidR="00E61C43" w:rsidRPr="00E61C43" w:rsidRDefault="00E61C43" w:rsidP="00E61C43">
      <w:pPr>
        <w:widowControl w:val="0"/>
        <w:spacing w:after="0" w:line="240" w:lineRule="auto"/>
        <w:jc w:val="center"/>
        <w:rPr>
          <w:rFonts w:ascii="PermianSlabSerifTypeface" w:eastAsia="Calibri" w:hAnsi="PermianSlabSerifTypeface" w:cs="Open Sans"/>
          <w:b/>
        </w:rPr>
      </w:pPr>
      <w:r w:rsidRPr="00E61C43">
        <w:rPr>
          <w:rFonts w:ascii="PermianSlabSerifTypeface" w:eastAsia="Calibri" w:hAnsi="PermianSlabSerifTypeface" w:cs="Open Sans"/>
          <w:b/>
        </w:rPr>
        <w:t>CERTIFICATE OF NEED STANDARDS AND CRITERIA</w:t>
      </w:r>
    </w:p>
    <w:p w:rsidR="00E61C43" w:rsidRPr="00E61C43" w:rsidRDefault="00E61C43" w:rsidP="00E61C43">
      <w:pPr>
        <w:widowControl w:val="0"/>
        <w:spacing w:after="0" w:line="240" w:lineRule="auto"/>
        <w:jc w:val="center"/>
        <w:rPr>
          <w:rFonts w:ascii="PermianSlabSerifTypeface" w:eastAsia="Calibri" w:hAnsi="PermianSlabSerifTypeface" w:cs="Open Sans"/>
          <w:b/>
        </w:rPr>
      </w:pPr>
    </w:p>
    <w:p w:rsidR="00E61C43" w:rsidRPr="00E61C43" w:rsidRDefault="00E61C43" w:rsidP="00E61C43">
      <w:pPr>
        <w:widowControl w:val="0"/>
        <w:spacing w:after="0" w:line="240" w:lineRule="auto"/>
        <w:jc w:val="center"/>
        <w:rPr>
          <w:rFonts w:ascii="PermianSlabSerifTypeface" w:eastAsia="Calibri" w:hAnsi="PermianSlabSerifTypeface" w:cs="Open Sans"/>
          <w:b/>
        </w:rPr>
      </w:pPr>
      <w:r w:rsidRPr="00E61C43">
        <w:rPr>
          <w:rFonts w:ascii="PermianSlabSerifTypeface" w:eastAsia="Calibri" w:hAnsi="PermianSlabSerifTypeface" w:cs="Open Sans"/>
          <w:b/>
        </w:rPr>
        <w:t>FOR</w:t>
      </w:r>
    </w:p>
    <w:p w:rsidR="00E61C43" w:rsidRPr="00E61C43" w:rsidRDefault="00E61C43" w:rsidP="00E61C43">
      <w:pPr>
        <w:keepNext/>
        <w:keepLines/>
        <w:widowControl w:val="0"/>
        <w:spacing w:before="200" w:after="0" w:line="240" w:lineRule="auto"/>
        <w:jc w:val="center"/>
        <w:outlineLvl w:val="2"/>
        <w:rPr>
          <w:rFonts w:ascii="PermianSlabSerifTypeface" w:eastAsia="MS Gothic" w:hAnsi="PermianSlabSerifTypeface" w:cs="Open Sans"/>
          <w:b/>
          <w:bCs/>
          <w:sz w:val="36"/>
        </w:rPr>
      </w:pPr>
      <w:bookmarkStart w:id="0" w:name="_Toc30149173"/>
      <w:r w:rsidRPr="00E61C43">
        <w:rPr>
          <w:rFonts w:ascii="PermianSlabSerifTypeface" w:eastAsia="MS Gothic" w:hAnsi="PermianSlabSerifTypeface" w:cs="Open Sans"/>
          <w:b/>
          <w:bCs/>
          <w:sz w:val="36"/>
        </w:rPr>
        <w:t>Megavoltage Radiation Therapy Services</w:t>
      </w:r>
      <w:bookmarkEnd w:id="0"/>
    </w:p>
    <w:p w:rsidR="00E61C43" w:rsidRPr="00E61C43" w:rsidRDefault="00E61C43" w:rsidP="00E61C43">
      <w:pPr>
        <w:keepNext/>
        <w:keepLines/>
        <w:widowControl w:val="0"/>
        <w:spacing w:before="200" w:after="0" w:line="240" w:lineRule="auto"/>
        <w:jc w:val="both"/>
        <w:outlineLvl w:val="2"/>
        <w:rPr>
          <w:rFonts w:ascii="PermianSlabSerifTypeface" w:eastAsia="MS Gothic" w:hAnsi="PermianSlabSerifTypeface" w:cs="Open Sans"/>
          <w:b/>
          <w:bCs/>
          <w:sz w:val="24"/>
        </w:rPr>
      </w:pPr>
    </w:p>
    <w:p w:rsidR="00E61C43" w:rsidRPr="00E61C43" w:rsidRDefault="00E61C43" w:rsidP="00E61C43">
      <w:pPr>
        <w:spacing w:after="360" w:line="300" w:lineRule="auto"/>
        <w:jc w:val="both"/>
        <w:rPr>
          <w:rFonts w:ascii="Open Sans" w:eastAsia="Calibri" w:hAnsi="Open Sans" w:cs="Open Sans"/>
          <w:bCs/>
          <w:sz w:val="21"/>
          <w:szCs w:val="21"/>
        </w:rPr>
      </w:pPr>
      <w:r w:rsidRPr="00E61C43">
        <w:rPr>
          <w:rFonts w:ascii="Open Sans" w:eastAsia="Calibri" w:hAnsi="Open Sans" w:cs="Open Sans"/>
          <w:bCs/>
          <w:sz w:val="21"/>
          <w:szCs w:val="21"/>
        </w:rPr>
        <w:t xml:space="preserve">The Health Services and Development Agency (HSDA) may consider the following standards and criteria for applications seeking to provide Megavoltage Radiation Therapy (MRT) Services. Rationale statements are provided for standards to explain the Division of Health Planning’s (Division) underlying reasoning and are meant to assist stakeholders in responding to these Standards and to assist the HSDA in its assessment of certificate of need (CON) applications. Existing providers of MRT services are not affected by these Standards and Criteria unless they take an action that requires a new CON for such services.  </w:t>
      </w:r>
    </w:p>
    <w:p w:rsidR="00E61C43" w:rsidRPr="00E61C43" w:rsidRDefault="00E61C43" w:rsidP="00E61C43">
      <w:pPr>
        <w:spacing w:after="360" w:line="300" w:lineRule="auto"/>
        <w:jc w:val="both"/>
        <w:rPr>
          <w:rFonts w:ascii="Open Sans" w:eastAsia="Calibri" w:hAnsi="Open Sans" w:cs="Open Sans"/>
          <w:bCs/>
          <w:sz w:val="21"/>
          <w:szCs w:val="21"/>
        </w:rPr>
      </w:pPr>
      <w:r w:rsidRPr="00E61C43">
        <w:rPr>
          <w:rFonts w:ascii="Open Sans" w:eastAsia="Calibri" w:hAnsi="Open Sans" w:cs="Open Sans"/>
          <w:bCs/>
          <w:sz w:val="21"/>
          <w:szCs w:val="21"/>
        </w:rPr>
        <w:t xml:space="preserve">These Standards and Criteria are effective immediately upon approval and adoption by the Governor. However, applications to provide MRT services that are deemed complete by the HSDA prior to the approval and adoption of these Standards and Criteria shall be considered under the 2011 Standards and Criteria for Megavoltage Radiation Therapy Services. </w:t>
      </w:r>
    </w:p>
    <w:p w:rsidR="00E61C43" w:rsidRPr="00E61C43" w:rsidRDefault="00E61C43" w:rsidP="00E61C43">
      <w:pPr>
        <w:spacing w:after="360" w:line="300" w:lineRule="auto"/>
        <w:jc w:val="both"/>
        <w:rPr>
          <w:rFonts w:ascii="Open Sans" w:eastAsia="Calibri" w:hAnsi="Open Sans" w:cs="Open Sans"/>
          <w:bCs/>
          <w:sz w:val="21"/>
          <w:szCs w:val="21"/>
        </w:rPr>
      </w:pPr>
      <w:r w:rsidRPr="00E61C43">
        <w:rPr>
          <w:rFonts w:ascii="Open Sans" w:eastAsia="Calibri" w:hAnsi="Open Sans" w:cs="Open Sans"/>
          <w:bCs/>
          <w:sz w:val="21"/>
          <w:szCs w:val="21"/>
        </w:rPr>
        <w:t>The Certificate of Need Standards and Criteria serve to uphold the Five Principles for Achieving Better Health set forth by the State Health Plan. Utilizing the Five Principles for Achieving Better Health during the development of the CON Standards and Criteria ensures the protection and promotion of the health of the people of Tennessee. The State Health Plan’s Five Principles for Achieving Better Health are as follows:</w:t>
      </w:r>
    </w:p>
    <w:p w:rsidR="00E61C43" w:rsidRPr="00E61C43" w:rsidRDefault="00E61C43" w:rsidP="00E61C43">
      <w:pPr>
        <w:spacing w:after="360" w:line="300" w:lineRule="auto"/>
        <w:jc w:val="both"/>
        <w:rPr>
          <w:rFonts w:ascii="Open Sans" w:eastAsia="Calibri" w:hAnsi="Open Sans" w:cs="Open Sans"/>
          <w:bCs/>
          <w:sz w:val="21"/>
          <w:szCs w:val="21"/>
        </w:rPr>
      </w:pPr>
    </w:p>
    <w:p w:rsidR="00E61C43" w:rsidRPr="00E61C43" w:rsidRDefault="00E61C43" w:rsidP="00E61C43">
      <w:pPr>
        <w:numPr>
          <w:ilvl w:val="0"/>
          <w:numId w:val="1"/>
        </w:numPr>
        <w:spacing w:after="0" w:line="300" w:lineRule="auto"/>
        <w:jc w:val="both"/>
        <w:rPr>
          <w:rFonts w:ascii="Open Sans" w:eastAsia="Calibri" w:hAnsi="Open Sans" w:cs="Open Sans"/>
          <w:bCs/>
          <w:sz w:val="21"/>
          <w:szCs w:val="21"/>
        </w:rPr>
      </w:pPr>
      <w:r w:rsidRPr="00E61C43">
        <w:rPr>
          <w:rFonts w:ascii="Open Sans" w:eastAsia="Calibri" w:hAnsi="Open Sans" w:cs="Open Sans"/>
          <w:b/>
          <w:bCs/>
          <w:sz w:val="21"/>
          <w:szCs w:val="21"/>
        </w:rPr>
        <w:lastRenderedPageBreak/>
        <w:t>Healthy Lives:</w:t>
      </w:r>
      <w:r w:rsidRPr="00E61C43">
        <w:rPr>
          <w:rFonts w:ascii="Open Sans" w:eastAsia="Calibri" w:hAnsi="Open Sans" w:cs="Open Sans"/>
          <w:bCs/>
          <w:sz w:val="21"/>
          <w:szCs w:val="21"/>
        </w:rPr>
        <w:t xml:space="preserve"> The purpose of the State Health Plan is to improve the health of Tennesseans.</w:t>
      </w:r>
    </w:p>
    <w:p w:rsidR="00E61C43" w:rsidRPr="00E61C43" w:rsidRDefault="00E61C43" w:rsidP="00E61C43">
      <w:pPr>
        <w:numPr>
          <w:ilvl w:val="0"/>
          <w:numId w:val="1"/>
        </w:numPr>
        <w:spacing w:after="0" w:line="300" w:lineRule="auto"/>
        <w:jc w:val="both"/>
        <w:rPr>
          <w:rFonts w:ascii="Open Sans" w:eastAsia="Calibri" w:hAnsi="Open Sans" w:cs="Open Sans"/>
          <w:bCs/>
          <w:sz w:val="21"/>
          <w:szCs w:val="21"/>
        </w:rPr>
      </w:pPr>
      <w:r w:rsidRPr="00E61C43">
        <w:rPr>
          <w:rFonts w:ascii="Open Sans" w:eastAsia="Calibri" w:hAnsi="Open Sans" w:cs="Open Sans"/>
          <w:b/>
          <w:bCs/>
          <w:sz w:val="21"/>
          <w:szCs w:val="21"/>
        </w:rPr>
        <w:t>Access:</w:t>
      </w:r>
      <w:r w:rsidRPr="00E61C43">
        <w:rPr>
          <w:rFonts w:ascii="Open Sans" w:eastAsia="Calibri" w:hAnsi="Open Sans" w:cs="Open Sans"/>
          <w:bCs/>
          <w:sz w:val="21"/>
          <w:szCs w:val="21"/>
        </w:rPr>
        <w:t xml:space="preserve"> Every citizen should have reasonable access to health care.</w:t>
      </w:r>
    </w:p>
    <w:p w:rsidR="00E61C43" w:rsidRPr="00E61C43" w:rsidRDefault="00E61C43" w:rsidP="00E61C43">
      <w:pPr>
        <w:numPr>
          <w:ilvl w:val="0"/>
          <w:numId w:val="1"/>
        </w:numPr>
        <w:spacing w:after="0" w:line="300" w:lineRule="auto"/>
        <w:jc w:val="both"/>
        <w:rPr>
          <w:rFonts w:ascii="Open Sans" w:eastAsia="Calibri" w:hAnsi="Open Sans" w:cs="Open Sans"/>
          <w:bCs/>
          <w:sz w:val="21"/>
          <w:szCs w:val="21"/>
        </w:rPr>
      </w:pPr>
      <w:r w:rsidRPr="00E61C43">
        <w:rPr>
          <w:rFonts w:ascii="Open Sans" w:eastAsia="Calibri" w:hAnsi="Open Sans" w:cs="Open Sans"/>
          <w:b/>
          <w:bCs/>
          <w:sz w:val="21"/>
          <w:szCs w:val="21"/>
        </w:rPr>
        <w:t>Economic Efficiencies:</w:t>
      </w:r>
      <w:r w:rsidRPr="00E61C43">
        <w:rPr>
          <w:rFonts w:ascii="Open Sans" w:eastAsia="Calibri" w:hAnsi="Open Sans" w:cs="Open Sans"/>
          <w:bCs/>
          <w:sz w:val="21"/>
          <w:szCs w:val="21"/>
        </w:rPr>
        <w:t xml:space="preserve"> The state’s health care resources should be developed to address the needs of Tennesseans while encouraging competitive markets, economic efficiencies and the continued development of the state’s health care system.</w:t>
      </w:r>
    </w:p>
    <w:p w:rsidR="00E61C43" w:rsidRPr="00E61C43" w:rsidRDefault="00E61C43" w:rsidP="00E61C43">
      <w:pPr>
        <w:numPr>
          <w:ilvl w:val="0"/>
          <w:numId w:val="1"/>
        </w:numPr>
        <w:spacing w:after="0" w:line="300" w:lineRule="auto"/>
        <w:jc w:val="both"/>
        <w:rPr>
          <w:rFonts w:ascii="Open Sans" w:eastAsia="Calibri" w:hAnsi="Open Sans" w:cs="Open Sans"/>
          <w:bCs/>
          <w:sz w:val="21"/>
          <w:szCs w:val="21"/>
        </w:rPr>
      </w:pPr>
      <w:r w:rsidRPr="00E61C43">
        <w:rPr>
          <w:rFonts w:ascii="Open Sans" w:eastAsia="Calibri" w:hAnsi="Open Sans" w:cs="Open Sans"/>
          <w:b/>
          <w:bCs/>
          <w:sz w:val="21"/>
          <w:szCs w:val="21"/>
        </w:rPr>
        <w:t>Quality of Care:</w:t>
      </w:r>
      <w:r w:rsidRPr="00E61C43">
        <w:rPr>
          <w:rFonts w:ascii="Open Sans" w:eastAsia="Calibri" w:hAnsi="Open Sans" w:cs="Open Sans"/>
          <w:bCs/>
          <w:sz w:val="21"/>
          <w:szCs w:val="21"/>
        </w:rPr>
        <w:t xml:space="preserve"> Every citizen should have confidence that the quality of health care is continually monitored and standards are adhered to by health care providers.</w:t>
      </w:r>
    </w:p>
    <w:p w:rsidR="00E61C43" w:rsidRPr="00E61C43" w:rsidRDefault="00E61C43" w:rsidP="00E61C43">
      <w:pPr>
        <w:numPr>
          <w:ilvl w:val="0"/>
          <w:numId w:val="1"/>
        </w:numPr>
        <w:spacing w:after="360" w:line="300" w:lineRule="auto"/>
        <w:jc w:val="both"/>
        <w:rPr>
          <w:rFonts w:ascii="Open Sans" w:eastAsia="Calibri" w:hAnsi="Open Sans" w:cs="Open Sans"/>
          <w:bCs/>
          <w:sz w:val="21"/>
          <w:szCs w:val="21"/>
        </w:rPr>
      </w:pPr>
      <w:r w:rsidRPr="00E61C43">
        <w:rPr>
          <w:rFonts w:ascii="Open Sans" w:eastAsia="Calibri" w:hAnsi="Open Sans" w:cs="Open Sans"/>
          <w:b/>
          <w:bCs/>
          <w:sz w:val="21"/>
          <w:szCs w:val="21"/>
        </w:rPr>
        <w:t>Workforce:</w:t>
      </w:r>
      <w:r w:rsidRPr="00E61C43">
        <w:rPr>
          <w:rFonts w:ascii="Open Sans" w:eastAsia="Calibri" w:hAnsi="Open Sans" w:cs="Open Sans"/>
          <w:bCs/>
          <w:sz w:val="21"/>
          <w:szCs w:val="21"/>
        </w:rPr>
        <w:t xml:space="preserve"> The state should support the development, recruitment and retention of a sufficient and quality health care workforce.</w:t>
      </w:r>
    </w:p>
    <w:p w:rsidR="00E61C43" w:rsidRPr="00E61C43" w:rsidRDefault="00E61C43" w:rsidP="00E61C43">
      <w:pPr>
        <w:spacing w:after="360" w:line="300" w:lineRule="auto"/>
        <w:jc w:val="both"/>
        <w:rPr>
          <w:rFonts w:ascii="Open Sans" w:eastAsia="Calibri" w:hAnsi="Open Sans" w:cs="Open Sans"/>
          <w:b/>
          <w:bCs/>
          <w:sz w:val="24"/>
          <w:szCs w:val="24"/>
        </w:rPr>
      </w:pPr>
      <w:r w:rsidRPr="00E61C43">
        <w:rPr>
          <w:rFonts w:ascii="Open Sans" w:eastAsia="Calibri" w:hAnsi="Open Sans" w:cs="Open Sans"/>
          <w:b/>
          <w:bCs/>
          <w:sz w:val="24"/>
          <w:szCs w:val="24"/>
        </w:rPr>
        <w:t>Definitions</w:t>
      </w:r>
    </w:p>
    <w:p w:rsidR="00E61C43" w:rsidRPr="00E61C43" w:rsidRDefault="00E61C43" w:rsidP="00E61C43">
      <w:pPr>
        <w:spacing w:after="360" w:line="300" w:lineRule="auto"/>
        <w:jc w:val="both"/>
        <w:rPr>
          <w:rFonts w:ascii="Open Sans" w:eastAsia="Calibri" w:hAnsi="Open Sans" w:cs="Open Sans"/>
          <w:bCs/>
          <w:sz w:val="21"/>
          <w:szCs w:val="21"/>
        </w:rPr>
      </w:pPr>
      <w:r w:rsidRPr="00E61C43">
        <w:rPr>
          <w:rFonts w:ascii="Open Sans" w:eastAsia="Calibri" w:hAnsi="Open Sans" w:cs="Open Sans"/>
          <w:b/>
          <w:bCs/>
          <w:sz w:val="21"/>
          <w:szCs w:val="21"/>
        </w:rPr>
        <w:t>External Beam Radiation Therapy (EBRT):</w:t>
      </w:r>
      <w:r w:rsidRPr="00E61C43">
        <w:rPr>
          <w:rFonts w:ascii="Open Sans" w:eastAsia="Calibri" w:hAnsi="Open Sans" w:cs="Open Sans"/>
          <w:bCs/>
          <w:sz w:val="21"/>
          <w:szCs w:val="21"/>
        </w:rPr>
        <w:t xml:space="preserve"> Radiation therapy delivered by an MRT Unit from outside the body. </w:t>
      </w:r>
    </w:p>
    <w:p w:rsidR="00E61C43" w:rsidRPr="00E61C43" w:rsidRDefault="00E61C43" w:rsidP="00E61C43">
      <w:pPr>
        <w:spacing w:after="360" w:line="300" w:lineRule="auto"/>
        <w:jc w:val="both"/>
        <w:rPr>
          <w:rFonts w:ascii="Open Sans" w:eastAsia="Calibri" w:hAnsi="Open Sans" w:cs="Open Sans"/>
          <w:bCs/>
          <w:sz w:val="21"/>
          <w:szCs w:val="21"/>
        </w:rPr>
      </w:pPr>
      <w:r w:rsidRPr="00E61C43">
        <w:rPr>
          <w:rFonts w:ascii="Open Sans" w:eastAsia="Calibri" w:hAnsi="Open Sans" w:cs="Open Sans"/>
          <w:b/>
          <w:bCs/>
          <w:sz w:val="21"/>
          <w:szCs w:val="21"/>
        </w:rPr>
        <w:t>Image-Guided Radiation Therapy (IGRT):</w:t>
      </w:r>
      <w:r w:rsidRPr="00E61C43">
        <w:rPr>
          <w:rFonts w:ascii="Open Sans" w:eastAsia="Calibri" w:hAnsi="Open Sans" w:cs="Open Sans"/>
          <w:bCs/>
          <w:sz w:val="21"/>
          <w:szCs w:val="21"/>
        </w:rPr>
        <w:t xml:space="preserve"> A procedure that uses a computer to create a picture of a tumor to help guide the radiation beam during radiation therapy. The pictures are made using CT, ultrasound, X-ray, or other imaging techniques. IGRT makes radiation therapy more accurate and causes less damage to healthy tissue.</w:t>
      </w:r>
      <w:r w:rsidRPr="00E61C43">
        <w:rPr>
          <w:rFonts w:ascii="Open Sans" w:eastAsia="Calibri" w:hAnsi="Open Sans" w:cs="Open Sans"/>
          <w:bCs/>
          <w:sz w:val="21"/>
          <w:szCs w:val="21"/>
          <w:vertAlign w:val="superscript"/>
        </w:rPr>
        <w:t xml:space="preserve"> </w:t>
      </w:r>
      <w:r w:rsidRPr="00E61C43">
        <w:rPr>
          <w:rFonts w:ascii="Open Sans" w:eastAsia="Calibri" w:hAnsi="Open Sans" w:cs="Open Sans"/>
          <w:bCs/>
          <w:sz w:val="21"/>
          <w:szCs w:val="21"/>
          <w:vertAlign w:val="superscript"/>
        </w:rPr>
        <w:footnoteReference w:id="1"/>
      </w:r>
    </w:p>
    <w:p w:rsidR="00E61C43" w:rsidRPr="00E61C43" w:rsidRDefault="00E61C43" w:rsidP="00E61C43">
      <w:pPr>
        <w:spacing w:after="360" w:line="300" w:lineRule="auto"/>
        <w:jc w:val="both"/>
        <w:rPr>
          <w:rFonts w:ascii="Open Sans" w:eastAsia="Calibri" w:hAnsi="Open Sans" w:cs="Open Sans"/>
          <w:bCs/>
          <w:sz w:val="21"/>
          <w:szCs w:val="21"/>
        </w:rPr>
      </w:pPr>
      <w:r w:rsidRPr="00E61C43">
        <w:rPr>
          <w:rFonts w:ascii="Open Sans" w:eastAsia="Calibri" w:hAnsi="Open Sans" w:cs="Open Sans"/>
          <w:b/>
          <w:bCs/>
          <w:sz w:val="21"/>
          <w:szCs w:val="21"/>
        </w:rPr>
        <w:t>Intensity-Modulated Radiation Therapy (IMRT):</w:t>
      </w:r>
      <w:r w:rsidRPr="00E61C43">
        <w:rPr>
          <w:rFonts w:ascii="Open Sans" w:eastAsia="Calibri" w:hAnsi="Open Sans" w:cs="Open Sans"/>
          <w:bCs/>
          <w:sz w:val="21"/>
          <w:szCs w:val="21"/>
        </w:rPr>
        <w:t xml:space="preserve"> A type of 3-dimensional radiation therapy that uses computer-generated images to show the size and shape of the tumor. Thin beams of radiation of different intensities are aimed at the tumor from many angles. This type of radiation therapy reduces the damage to healthy tissue near the tumor, and can also called intensity-modulated radiation therapy.</w:t>
      </w:r>
      <w:r w:rsidRPr="00E61C43">
        <w:rPr>
          <w:rFonts w:ascii="Open Sans" w:eastAsia="Calibri" w:hAnsi="Open Sans" w:cs="Open Sans"/>
          <w:bCs/>
          <w:sz w:val="21"/>
          <w:szCs w:val="21"/>
          <w:vertAlign w:val="superscript"/>
        </w:rPr>
        <w:footnoteReference w:id="2"/>
      </w:r>
    </w:p>
    <w:p w:rsidR="00E61C43" w:rsidRDefault="00E61C43" w:rsidP="00E61C43">
      <w:pPr>
        <w:spacing w:after="360" w:line="300" w:lineRule="auto"/>
        <w:jc w:val="both"/>
        <w:rPr>
          <w:rFonts w:ascii="Open Sans" w:eastAsia="Calibri" w:hAnsi="Open Sans" w:cs="Open Sans"/>
          <w:b/>
          <w:bCs/>
          <w:sz w:val="21"/>
          <w:szCs w:val="21"/>
        </w:rPr>
      </w:pPr>
    </w:p>
    <w:p w:rsidR="00E61C43" w:rsidRDefault="00E61C43" w:rsidP="00E61C43">
      <w:pPr>
        <w:spacing w:after="360" w:line="300" w:lineRule="auto"/>
        <w:jc w:val="both"/>
        <w:rPr>
          <w:rFonts w:ascii="Open Sans" w:eastAsia="Calibri" w:hAnsi="Open Sans" w:cs="Open Sans"/>
          <w:b/>
          <w:bCs/>
          <w:sz w:val="21"/>
          <w:szCs w:val="21"/>
        </w:rPr>
      </w:pPr>
    </w:p>
    <w:p w:rsidR="00E61C43" w:rsidRDefault="00E61C43" w:rsidP="00E61C43">
      <w:pPr>
        <w:spacing w:after="360" w:line="300" w:lineRule="auto"/>
        <w:jc w:val="both"/>
        <w:rPr>
          <w:rFonts w:ascii="Open Sans" w:eastAsia="Calibri" w:hAnsi="Open Sans" w:cs="Open Sans"/>
          <w:b/>
          <w:bCs/>
          <w:sz w:val="21"/>
          <w:szCs w:val="21"/>
        </w:rPr>
      </w:pPr>
    </w:p>
    <w:p w:rsidR="00E61C43" w:rsidRPr="00E61C43" w:rsidRDefault="00E61C43" w:rsidP="00E61C43">
      <w:pPr>
        <w:spacing w:after="360" w:line="300" w:lineRule="auto"/>
        <w:jc w:val="both"/>
        <w:rPr>
          <w:rFonts w:ascii="Open Sans" w:eastAsia="Calibri" w:hAnsi="Open Sans" w:cs="Open Sans"/>
          <w:bCs/>
          <w:sz w:val="21"/>
          <w:szCs w:val="21"/>
        </w:rPr>
      </w:pPr>
      <w:r w:rsidRPr="00E61C43">
        <w:rPr>
          <w:rFonts w:ascii="Open Sans" w:eastAsia="Calibri" w:hAnsi="Open Sans" w:cs="Open Sans"/>
          <w:b/>
          <w:bCs/>
          <w:sz w:val="21"/>
          <w:szCs w:val="21"/>
        </w:rPr>
        <w:lastRenderedPageBreak/>
        <w:t>Linear Accelerator:</w:t>
      </w:r>
      <w:r w:rsidRPr="00E61C43">
        <w:rPr>
          <w:rFonts w:ascii="Open Sans" w:eastAsia="Calibri" w:hAnsi="Open Sans" w:cs="Open Sans"/>
          <w:bCs/>
          <w:sz w:val="21"/>
          <w:szCs w:val="21"/>
        </w:rPr>
        <w:t xml:space="preserve"> A type of EBRT Unit that delivers a beam of high energy x-rays (photon or electron particles) from an external source to the location of the patient’s tumor and/or other tissue being irradiated. Linear accelerators may deliver conventional EBRT, intensity modulated radiation therapy, image-guided radiation therapy, SBRT, and SRS services. Linear accelerators are the only MRT Unit type specifically listed in Tennessee Code Annotated Section 68-11-1607 (a</w:t>
      </w:r>
      <w:proofErr w:type="gramStart"/>
      <w:r w:rsidRPr="00E61C43">
        <w:rPr>
          <w:rFonts w:ascii="Open Sans" w:eastAsia="Calibri" w:hAnsi="Open Sans" w:cs="Open Sans"/>
          <w:bCs/>
          <w:sz w:val="21"/>
          <w:szCs w:val="21"/>
        </w:rPr>
        <w:t>)(</w:t>
      </w:r>
      <w:proofErr w:type="gramEnd"/>
      <w:r w:rsidRPr="00E61C43">
        <w:rPr>
          <w:rFonts w:ascii="Open Sans" w:eastAsia="Calibri" w:hAnsi="Open Sans" w:cs="Open Sans"/>
          <w:bCs/>
          <w:sz w:val="21"/>
          <w:szCs w:val="21"/>
        </w:rPr>
        <w:t xml:space="preserve">4) as requiring a CON in order for services to be initiated. Select linear accelerators (hybrids) are capable of performing IGRT, IMRT, SRS, and SBRT services. </w:t>
      </w:r>
    </w:p>
    <w:p w:rsidR="00E61C43" w:rsidRPr="00E61C43" w:rsidRDefault="00E61C43" w:rsidP="00E61C43">
      <w:pPr>
        <w:spacing w:after="360" w:line="300" w:lineRule="auto"/>
        <w:jc w:val="both"/>
        <w:rPr>
          <w:rFonts w:ascii="Open Sans" w:eastAsia="Calibri" w:hAnsi="Open Sans" w:cs="Open Sans"/>
          <w:bCs/>
          <w:sz w:val="21"/>
          <w:szCs w:val="21"/>
        </w:rPr>
      </w:pPr>
      <w:r w:rsidRPr="00E61C43">
        <w:rPr>
          <w:rFonts w:ascii="Open Sans" w:eastAsia="Calibri" w:hAnsi="Open Sans" w:cs="Open Sans"/>
          <w:bCs/>
          <w:sz w:val="21"/>
          <w:szCs w:val="21"/>
        </w:rPr>
        <w:t>Select linear accelerators, hybrids, are capable of performing IGRT, IMRT, SRS, and SBRT services.</w:t>
      </w:r>
    </w:p>
    <w:p w:rsidR="00E61C43" w:rsidRPr="00E61C43" w:rsidRDefault="00E61C43" w:rsidP="00E61C43">
      <w:pPr>
        <w:spacing w:after="360" w:line="300" w:lineRule="auto"/>
        <w:jc w:val="both"/>
        <w:rPr>
          <w:rFonts w:ascii="Open Sans" w:eastAsia="Calibri" w:hAnsi="Open Sans" w:cs="Open Sans"/>
          <w:bCs/>
          <w:sz w:val="21"/>
          <w:szCs w:val="21"/>
        </w:rPr>
      </w:pPr>
      <w:r w:rsidRPr="00E61C43">
        <w:rPr>
          <w:rFonts w:ascii="Open Sans" w:eastAsia="Calibri" w:hAnsi="Open Sans" w:cs="Open Sans"/>
          <w:b/>
          <w:bCs/>
          <w:sz w:val="21"/>
          <w:szCs w:val="21"/>
        </w:rPr>
        <w:t>Megavoltage Radiation Therapy Procedure (MRT):</w:t>
      </w:r>
      <w:r w:rsidRPr="00E61C43">
        <w:rPr>
          <w:rFonts w:ascii="Open Sans" w:eastAsia="Calibri" w:hAnsi="Open Sans" w:cs="Open Sans"/>
          <w:bCs/>
          <w:sz w:val="21"/>
          <w:szCs w:val="21"/>
        </w:rPr>
        <w:t xml:space="preserve"> Each discrete MRT treatment related to services performed on a single patient during a single visit, designated by CPT code. The Health Services and Development Agency (HSDA) shall be responsible for setting reporting requirements consistent with this definition, including the development of a selected set of CPT codes. </w:t>
      </w:r>
    </w:p>
    <w:p w:rsidR="00E61C43" w:rsidRPr="00E61C43" w:rsidRDefault="00E61C43" w:rsidP="00E61C43">
      <w:pPr>
        <w:spacing w:after="360" w:line="300" w:lineRule="auto"/>
        <w:jc w:val="both"/>
        <w:rPr>
          <w:rFonts w:ascii="Open Sans" w:eastAsia="Calibri" w:hAnsi="Open Sans" w:cs="Open Sans"/>
          <w:bCs/>
          <w:sz w:val="21"/>
          <w:szCs w:val="21"/>
        </w:rPr>
      </w:pPr>
      <w:r w:rsidRPr="00E61C43">
        <w:rPr>
          <w:rFonts w:ascii="Open Sans" w:eastAsia="Calibri" w:hAnsi="Open Sans" w:cs="Open Sans"/>
          <w:b/>
          <w:bCs/>
          <w:sz w:val="21"/>
          <w:szCs w:val="21"/>
        </w:rPr>
        <w:t>Megavoltage Radiation Therapy Unit (MRT):</w:t>
      </w:r>
      <w:r w:rsidRPr="00E61C43">
        <w:rPr>
          <w:rFonts w:ascii="Open Sans" w:eastAsia="Calibri" w:hAnsi="Open Sans" w:cs="Open Sans"/>
          <w:bCs/>
          <w:sz w:val="21"/>
          <w:szCs w:val="21"/>
        </w:rPr>
        <w:t xml:space="preserve"> Medical equipment that performs radiation therapy using a linear accelerator. </w:t>
      </w:r>
    </w:p>
    <w:p w:rsidR="00E61C43" w:rsidRPr="00E61C43" w:rsidRDefault="00E61C43" w:rsidP="00E61C43">
      <w:pPr>
        <w:spacing w:after="360" w:line="300" w:lineRule="auto"/>
        <w:jc w:val="both"/>
        <w:rPr>
          <w:rFonts w:ascii="Open Sans" w:eastAsia="Calibri" w:hAnsi="Open Sans" w:cs="Open Sans"/>
          <w:bCs/>
          <w:sz w:val="21"/>
          <w:szCs w:val="21"/>
        </w:rPr>
      </w:pPr>
      <w:r w:rsidRPr="00E61C43">
        <w:rPr>
          <w:rFonts w:ascii="Open Sans" w:eastAsia="Calibri" w:hAnsi="Open Sans" w:cs="Open Sans"/>
          <w:b/>
          <w:bCs/>
          <w:sz w:val="21"/>
          <w:szCs w:val="21"/>
        </w:rPr>
        <w:t>On-Board Imaging (OBI):</w:t>
      </w:r>
      <w:r w:rsidRPr="00E61C43">
        <w:rPr>
          <w:rFonts w:ascii="Open Sans" w:eastAsia="Calibri" w:hAnsi="Open Sans" w:cs="Open Sans"/>
          <w:bCs/>
          <w:sz w:val="21"/>
          <w:szCs w:val="21"/>
        </w:rPr>
        <w:t xml:space="preserve"> On-Board Imaging uses images obtained from the linear accelerator separate from patient delivery to confirm that a patient’s therapy setup is accurate. Using these images, adjustments can be made to the patient’s positioning on the treatment table or to the programed settings on the linear accelerator. </w:t>
      </w:r>
    </w:p>
    <w:p w:rsidR="00E61C43" w:rsidRPr="00E61C43" w:rsidRDefault="00E61C43" w:rsidP="00E61C43">
      <w:pPr>
        <w:spacing w:after="360" w:line="300" w:lineRule="auto"/>
        <w:jc w:val="both"/>
        <w:rPr>
          <w:rFonts w:ascii="Open Sans" w:eastAsia="Calibri" w:hAnsi="Open Sans" w:cs="Open Sans"/>
          <w:bCs/>
          <w:sz w:val="21"/>
          <w:szCs w:val="21"/>
        </w:rPr>
      </w:pPr>
      <w:r w:rsidRPr="00E61C43">
        <w:rPr>
          <w:rFonts w:ascii="Open Sans" w:eastAsia="Calibri" w:hAnsi="Open Sans" w:cs="Open Sans"/>
          <w:b/>
          <w:bCs/>
          <w:sz w:val="21"/>
          <w:szCs w:val="21"/>
        </w:rPr>
        <w:t>Radiation Therapy:</w:t>
      </w:r>
      <w:r w:rsidRPr="00E61C43">
        <w:rPr>
          <w:rFonts w:ascii="Open Sans" w:eastAsia="Calibri" w:hAnsi="Open Sans" w:cs="Open Sans"/>
          <w:bCs/>
          <w:sz w:val="21"/>
          <w:szCs w:val="21"/>
        </w:rPr>
        <w:t xml:space="preserve"> A medical procedure that allows non-invasive treatment of tumors and cancer cells using X-rays, gamma rays, and charged particles. The radiation may be delivered by a machine outside the body (external-beam radiation therapy), or it may come from radioactive material placed in the body near cancer cells (internal radiation therapy, also called brachytherapy). Radiation therapy delivered via high doses in five treatments or less is also known as Stereotactic Radiosurgery (SRS) when used to target lesions in the brain and as Stereotactic Body Radiotherapy (SBRT) or Stereotactic Ablative Radiotherapy (SABR) when used to target lesions in the body. </w:t>
      </w:r>
    </w:p>
    <w:p w:rsidR="00E61C43" w:rsidRPr="00E61C43" w:rsidRDefault="00E61C43" w:rsidP="00E61C43">
      <w:pPr>
        <w:spacing w:after="360" w:line="300" w:lineRule="auto"/>
        <w:jc w:val="both"/>
        <w:rPr>
          <w:rFonts w:ascii="Open Sans" w:eastAsia="Calibri" w:hAnsi="Open Sans" w:cs="Open Sans"/>
          <w:bCs/>
          <w:sz w:val="21"/>
          <w:szCs w:val="21"/>
        </w:rPr>
      </w:pPr>
    </w:p>
    <w:p w:rsidR="00E61C43" w:rsidRPr="00E61C43" w:rsidRDefault="00E61C43" w:rsidP="00E61C43">
      <w:pPr>
        <w:spacing w:after="360" w:line="300" w:lineRule="auto"/>
        <w:jc w:val="both"/>
        <w:rPr>
          <w:rFonts w:ascii="Open Sans" w:eastAsia="Calibri" w:hAnsi="Open Sans" w:cs="Open Sans"/>
          <w:b/>
          <w:bCs/>
          <w:sz w:val="24"/>
          <w:szCs w:val="24"/>
        </w:rPr>
      </w:pPr>
      <w:r w:rsidRPr="00E61C43">
        <w:rPr>
          <w:rFonts w:ascii="Open Sans" w:eastAsia="Calibri" w:hAnsi="Open Sans" w:cs="Open Sans"/>
          <w:b/>
          <w:bCs/>
          <w:sz w:val="24"/>
          <w:szCs w:val="24"/>
        </w:rPr>
        <w:lastRenderedPageBreak/>
        <w:t>Standards and Criteria</w:t>
      </w:r>
    </w:p>
    <w:p w:rsidR="00E61C43" w:rsidRPr="00E61C43" w:rsidRDefault="00E61C43" w:rsidP="00E61C43">
      <w:pPr>
        <w:numPr>
          <w:ilvl w:val="0"/>
          <w:numId w:val="2"/>
        </w:numPr>
        <w:spacing w:after="360" w:line="300" w:lineRule="auto"/>
        <w:jc w:val="both"/>
        <w:rPr>
          <w:rFonts w:ascii="Open Sans" w:eastAsia="Calibri" w:hAnsi="Open Sans" w:cs="Open Sans"/>
          <w:b/>
          <w:bCs/>
          <w:sz w:val="21"/>
          <w:szCs w:val="21"/>
        </w:rPr>
      </w:pPr>
      <w:r w:rsidRPr="00E61C43">
        <w:rPr>
          <w:rFonts w:ascii="Open Sans" w:eastAsia="Calibri" w:hAnsi="Open Sans" w:cs="Open Sans"/>
          <w:b/>
          <w:bCs/>
          <w:sz w:val="21"/>
          <w:szCs w:val="21"/>
        </w:rPr>
        <w:t>Determination of Need:</w:t>
      </w:r>
      <w:r w:rsidRPr="00E61C43">
        <w:rPr>
          <w:rFonts w:ascii="Open Sans" w:eastAsia="Calibri" w:hAnsi="Open Sans" w:cs="Open Sans"/>
          <w:bCs/>
          <w:sz w:val="21"/>
          <w:szCs w:val="21"/>
        </w:rPr>
        <w:t xml:space="preserve"> The following table outlines the utilization standards that should be used to determine need in the proposed service area. </w:t>
      </w:r>
    </w:p>
    <w:p w:rsidR="00E61C43" w:rsidRPr="00E61C43" w:rsidRDefault="00E61C43" w:rsidP="00E61C43">
      <w:pPr>
        <w:numPr>
          <w:ilvl w:val="1"/>
          <w:numId w:val="2"/>
        </w:numPr>
        <w:spacing w:after="360" w:line="300" w:lineRule="auto"/>
        <w:jc w:val="both"/>
        <w:rPr>
          <w:rFonts w:ascii="Open Sans" w:eastAsia="Calibri" w:hAnsi="Open Sans" w:cs="Open Sans"/>
          <w:bCs/>
          <w:sz w:val="21"/>
          <w:szCs w:val="21"/>
        </w:rPr>
      </w:pPr>
      <w:r w:rsidRPr="00E61C43">
        <w:rPr>
          <w:rFonts w:ascii="Open Sans" w:eastAsia="Calibri" w:hAnsi="Open Sans" w:cs="Open Sans"/>
          <w:bCs/>
          <w:sz w:val="21"/>
          <w:szCs w:val="21"/>
        </w:rPr>
        <w:t>These utilization standards were developed based on the following assumptions related to operating time:</w:t>
      </w:r>
    </w:p>
    <w:p w:rsidR="00E61C43" w:rsidRPr="00E61C43" w:rsidRDefault="00E61C43" w:rsidP="00E61C43">
      <w:pPr>
        <w:numPr>
          <w:ilvl w:val="2"/>
          <w:numId w:val="2"/>
        </w:numPr>
        <w:spacing w:after="0" w:line="300" w:lineRule="auto"/>
        <w:jc w:val="both"/>
        <w:rPr>
          <w:rFonts w:ascii="Open Sans" w:eastAsia="Calibri" w:hAnsi="Open Sans" w:cs="Open Sans"/>
          <w:bCs/>
          <w:sz w:val="21"/>
          <w:szCs w:val="21"/>
        </w:rPr>
      </w:pPr>
      <w:r w:rsidRPr="00E61C43">
        <w:rPr>
          <w:rFonts w:ascii="Open Sans" w:eastAsia="Calibri" w:hAnsi="Open Sans" w:cs="Open Sans"/>
          <w:bCs/>
          <w:sz w:val="21"/>
          <w:szCs w:val="21"/>
        </w:rPr>
        <w:t>8 hours per day,</w:t>
      </w:r>
    </w:p>
    <w:p w:rsidR="00E61C43" w:rsidRPr="00E61C43" w:rsidRDefault="00E61C43" w:rsidP="00E61C43">
      <w:pPr>
        <w:numPr>
          <w:ilvl w:val="2"/>
          <w:numId w:val="2"/>
        </w:numPr>
        <w:spacing w:after="0" w:line="300" w:lineRule="auto"/>
        <w:jc w:val="both"/>
        <w:rPr>
          <w:rFonts w:ascii="Open Sans" w:eastAsia="Calibri" w:hAnsi="Open Sans" w:cs="Open Sans"/>
          <w:bCs/>
          <w:sz w:val="21"/>
          <w:szCs w:val="21"/>
        </w:rPr>
      </w:pPr>
      <w:r w:rsidRPr="00E61C43">
        <w:rPr>
          <w:rFonts w:ascii="Open Sans" w:eastAsia="Calibri" w:hAnsi="Open Sans" w:cs="Open Sans"/>
          <w:bCs/>
          <w:sz w:val="21"/>
          <w:szCs w:val="21"/>
        </w:rPr>
        <w:t>5 treatment days per week,</w:t>
      </w:r>
    </w:p>
    <w:p w:rsidR="00E61C43" w:rsidRPr="00E61C43" w:rsidRDefault="00E61C43" w:rsidP="00E61C43">
      <w:pPr>
        <w:numPr>
          <w:ilvl w:val="2"/>
          <w:numId w:val="2"/>
        </w:numPr>
        <w:spacing w:after="0" w:line="300" w:lineRule="auto"/>
        <w:jc w:val="both"/>
        <w:rPr>
          <w:rFonts w:ascii="Open Sans" w:eastAsia="Calibri" w:hAnsi="Open Sans" w:cs="Open Sans"/>
          <w:bCs/>
          <w:sz w:val="21"/>
          <w:szCs w:val="21"/>
        </w:rPr>
      </w:pPr>
      <w:r w:rsidRPr="00E61C43">
        <w:rPr>
          <w:rFonts w:ascii="Open Sans" w:eastAsia="Calibri" w:hAnsi="Open Sans" w:cs="Open Sans"/>
          <w:bCs/>
          <w:sz w:val="21"/>
          <w:szCs w:val="21"/>
        </w:rPr>
        <w:t>52 weeks per year, and</w:t>
      </w:r>
    </w:p>
    <w:p w:rsidR="00E61C43" w:rsidRPr="00E61C43" w:rsidRDefault="00E61C43" w:rsidP="00E61C43">
      <w:pPr>
        <w:numPr>
          <w:ilvl w:val="2"/>
          <w:numId w:val="2"/>
        </w:numPr>
        <w:spacing w:after="0" w:line="300" w:lineRule="auto"/>
        <w:jc w:val="both"/>
        <w:rPr>
          <w:rFonts w:ascii="Open Sans" w:eastAsia="Calibri" w:hAnsi="Open Sans" w:cs="Open Sans"/>
          <w:bCs/>
          <w:sz w:val="21"/>
          <w:szCs w:val="21"/>
        </w:rPr>
      </w:pPr>
      <w:r w:rsidRPr="00E61C43">
        <w:rPr>
          <w:rFonts w:ascii="Open Sans" w:eastAsia="Calibri" w:hAnsi="Open Sans" w:cs="Open Sans"/>
          <w:bCs/>
          <w:sz w:val="21"/>
          <w:szCs w:val="21"/>
        </w:rPr>
        <w:t>95% average up-time.</w:t>
      </w:r>
    </w:p>
    <w:p w:rsidR="00E61C43" w:rsidRPr="00E61C43" w:rsidRDefault="00E61C43" w:rsidP="00E61C43">
      <w:pPr>
        <w:spacing w:after="0" w:line="300" w:lineRule="auto"/>
        <w:ind w:left="1800"/>
        <w:jc w:val="both"/>
        <w:rPr>
          <w:rFonts w:ascii="Open Sans" w:eastAsia="Calibri" w:hAnsi="Open Sans" w:cs="Open Sans"/>
          <w:bCs/>
          <w:sz w:val="21"/>
          <w:szCs w:val="21"/>
        </w:rPr>
      </w:pPr>
    </w:p>
    <w:tbl>
      <w:tblPr>
        <w:tblStyle w:val="TableGrid"/>
        <w:tblW w:w="9930" w:type="dxa"/>
        <w:jc w:val="center"/>
        <w:tblInd w:w="1800" w:type="dxa"/>
        <w:tblLook w:val="04A0" w:firstRow="1" w:lastRow="0" w:firstColumn="1" w:lastColumn="0" w:noHBand="0" w:noVBand="1"/>
      </w:tblPr>
      <w:tblGrid>
        <w:gridCol w:w="2973"/>
        <w:gridCol w:w="2772"/>
        <w:gridCol w:w="1372"/>
        <w:gridCol w:w="1487"/>
        <w:gridCol w:w="1326"/>
      </w:tblGrid>
      <w:tr w:rsidR="00E61C43" w:rsidRPr="00E61C43" w:rsidTr="00BD798C">
        <w:trPr>
          <w:trHeight w:val="378"/>
          <w:jc w:val="center"/>
        </w:trPr>
        <w:tc>
          <w:tcPr>
            <w:tcW w:w="5745" w:type="dxa"/>
            <w:gridSpan w:val="2"/>
            <w:tcBorders>
              <w:top w:val="nil"/>
              <w:left w:val="nil"/>
            </w:tcBorders>
          </w:tcPr>
          <w:p w:rsidR="00E61C43" w:rsidRPr="00E61C43" w:rsidRDefault="00E61C43" w:rsidP="00E61C43">
            <w:pPr>
              <w:spacing w:line="300" w:lineRule="auto"/>
              <w:jc w:val="both"/>
              <w:rPr>
                <w:rFonts w:ascii="Open Sans" w:eastAsia="Calibri" w:hAnsi="Open Sans" w:cs="Open Sans"/>
                <w:b/>
                <w:bCs/>
                <w:sz w:val="21"/>
                <w:szCs w:val="21"/>
              </w:rPr>
            </w:pPr>
          </w:p>
        </w:tc>
        <w:tc>
          <w:tcPr>
            <w:tcW w:w="4185" w:type="dxa"/>
            <w:gridSpan w:val="3"/>
          </w:tcPr>
          <w:p w:rsidR="00E61C43" w:rsidRPr="00E61C43" w:rsidRDefault="00E61C43" w:rsidP="00E61C43">
            <w:pPr>
              <w:spacing w:line="300" w:lineRule="auto"/>
              <w:jc w:val="center"/>
              <w:rPr>
                <w:rFonts w:ascii="Open Sans" w:eastAsia="Calibri" w:hAnsi="Open Sans" w:cs="Open Sans"/>
                <w:b/>
                <w:bCs/>
                <w:sz w:val="21"/>
                <w:szCs w:val="21"/>
              </w:rPr>
            </w:pPr>
            <w:r w:rsidRPr="00E61C43">
              <w:rPr>
                <w:rFonts w:ascii="Open Sans" w:eastAsia="Calibri" w:hAnsi="Open Sans" w:cs="Open Sans"/>
                <w:b/>
                <w:bCs/>
                <w:sz w:val="21"/>
                <w:szCs w:val="21"/>
              </w:rPr>
              <w:t>Capacity</w:t>
            </w:r>
          </w:p>
        </w:tc>
      </w:tr>
      <w:tr w:rsidR="00E61C43" w:rsidRPr="00E61C43" w:rsidTr="00BD798C">
        <w:trPr>
          <w:trHeight w:val="725"/>
          <w:jc w:val="center"/>
        </w:trPr>
        <w:tc>
          <w:tcPr>
            <w:tcW w:w="2973" w:type="dxa"/>
          </w:tcPr>
          <w:p w:rsidR="00E61C43" w:rsidRPr="00E61C43" w:rsidRDefault="00E61C43" w:rsidP="00E61C43">
            <w:pPr>
              <w:spacing w:line="300" w:lineRule="auto"/>
              <w:jc w:val="center"/>
              <w:rPr>
                <w:rFonts w:ascii="Open Sans" w:eastAsia="Calibri" w:hAnsi="Open Sans" w:cs="Open Sans"/>
                <w:bCs/>
                <w:sz w:val="21"/>
                <w:szCs w:val="21"/>
              </w:rPr>
            </w:pPr>
            <w:r w:rsidRPr="00E61C43">
              <w:rPr>
                <w:rFonts w:ascii="Open Sans" w:eastAsia="Calibri" w:hAnsi="Open Sans" w:cs="Open Sans"/>
                <w:b/>
                <w:bCs/>
                <w:sz w:val="21"/>
                <w:szCs w:val="21"/>
              </w:rPr>
              <w:t>Type of Linear Accelerator</w:t>
            </w:r>
          </w:p>
        </w:tc>
        <w:tc>
          <w:tcPr>
            <w:tcW w:w="2772" w:type="dxa"/>
          </w:tcPr>
          <w:p w:rsidR="00E61C43" w:rsidRPr="00E61C43" w:rsidRDefault="00E61C43" w:rsidP="00E61C43">
            <w:pPr>
              <w:spacing w:line="300" w:lineRule="auto"/>
              <w:jc w:val="center"/>
              <w:rPr>
                <w:rFonts w:ascii="Open Sans" w:eastAsia="Calibri" w:hAnsi="Open Sans" w:cs="Open Sans"/>
                <w:b/>
                <w:bCs/>
                <w:sz w:val="21"/>
                <w:szCs w:val="21"/>
              </w:rPr>
            </w:pPr>
            <w:r w:rsidRPr="00E61C43">
              <w:rPr>
                <w:rFonts w:ascii="Open Sans" w:eastAsia="Calibri" w:hAnsi="Open Sans" w:cs="Open Sans"/>
                <w:b/>
                <w:bCs/>
                <w:sz w:val="21"/>
                <w:szCs w:val="21"/>
              </w:rPr>
              <w:t>Estimated Patients Per Day</w:t>
            </w:r>
          </w:p>
        </w:tc>
        <w:tc>
          <w:tcPr>
            <w:tcW w:w="1372" w:type="dxa"/>
          </w:tcPr>
          <w:p w:rsidR="00E61C43" w:rsidRPr="00E61C43" w:rsidRDefault="00E61C43" w:rsidP="00E61C43">
            <w:pPr>
              <w:spacing w:line="300" w:lineRule="auto"/>
              <w:jc w:val="center"/>
              <w:rPr>
                <w:rFonts w:ascii="Open Sans" w:eastAsia="Calibri" w:hAnsi="Open Sans" w:cs="Open Sans"/>
                <w:b/>
                <w:bCs/>
                <w:sz w:val="21"/>
                <w:szCs w:val="21"/>
              </w:rPr>
            </w:pPr>
            <w:r w:rsidRPr="00E61C43">
              <w:rPr>
                <w:rFonts w:ascii="Open Sans" w:eastAsia="Calibri" w:hAnsi="Open Sans" w:cs="Open Sans"/>
                <w:b/>
                <w:bCs/>
                <w:sz w:val="21"/>
                <w:szCs w:val="21"/>
              </w:rPr>
              <w:t>Minimum (40%)</w:t>
            </w:r>
          </w:p>
        </w:tc>
        <w:tc>
          <w:tcPr>
            <w:tcW w:w="1487" w:type="dxa"/>
          </w:tcPr>
          <w:p w:rsidR="00E61C43" w:rsidRPr="00E61C43" w:rsidRDefault="00E61C43" w:rsidP="00E61C43">
            <w:pPr>
              <w:spacing w:line="300" w:lineRule="auto"/>
              <w:jc w:val="center"/>
              <w:rPr>
                <w:rFonts w:ascii="Open Sans" w:eastAsia="Calibri" w:hAnsi="Open Sans" w:cs="Open Sans"/>
                <w:b/>
                <w:bCs/>
                <w:sz w:val="21"/>
                <w:szCs w:val="21"/>
              </w:rPr>
            </w:pPr>
            <w:r w:rsidRPr="00E61C43">
              <w:rPr>
                <w:rFonts w:ascii="Open Sans" w:eastAsia="Calibri" w:hAnsi="Open Sans" w:cs="Open Sans"/>
                <w:b/>
                <w:bCs/>
                <w:sz w:val="21"/>
                <w:szCs w:val="21"/>
              </w:rPr>
              <w:t>Optimal (80%)</w:t>
            </w:r>
          </w:p>
        </w:tc>
        <w:tc>
          <w:tcPr>
            <w:tcW w:w="1326" w:type="dxa"/>
          </w:tcPr>
          <w:p w:rsidR="00E61C43" w:rsidRPr="00E61C43" w:rsidRDefault="00E61C43" w:rsidP="00E61C43">
            <w:pPr>
              <w:spacing w:line="300" w:lineRule="auto"/>
              <w:jc w:val="center"/>
              <w:rPr>
                <w:rFonts w:ascii="Open Sans" w:eastAsia="Calibri" w:hAnsi="Open Sans" w:cs="Open Sans"/>
                <w:b/>
                <w:bCs/>
                <w:sz w:val="21"/>
                <w:szCs w:val="21"/>
              </w:rPr>
            </w:pPr>
            <w:r w:rsidRPr="00E61C43">
              <w:rPr>
                <w:rFonts w:ascii="Open Sans" w:eastAsia="Calibri" w:hAnsi="Open Sans" w:cs="Open Sans"/>
                <w:b/>
                <w:bCs/>
                <w:sz w:val="21"/>
                <w:szCs w:val="21"/>
              </w:rPr>
              <w:t>Maximum (100%)</w:t>
            </w:r>
          </w:p>
        </w:tc>
      </w:tr>
      <w:tr w:rsidR="00E61C43" w:rsidRPr="00E61C43" w:rsidTr="00BD798C">
        <w:trPr>
          <w:trHeight w:val="353"/>
          <w:jc w:val="center"/>
        </w:trPr>
        <w:tc>
          <w:tcPr>
            <w:tcW w:w="2973" w:type="dxa"/>
          </w:tcPr>
          <w:p w:rsidR="00E61C43" w:rsidRPr="00E61C43" w:rsidRDefault="00E61C43" w:rsidP="00E61C43">
            <w:pPr>
              <w:spacing w:line="300" w:lineRule="auto"/>
              <w:jc w:val="center"/>
              <w:rPr>
                <w:rFonts w:ascii="Open Sans" w:eastAsia="Calibri" w:hAnsi="Open Sans" w:cs="Open Sans"/>
                <w:bCs/>
                <w:sz w:val="21"/>
                <w:szCs w:val="21"/>
              </w:rPr>
            </w:pPr>
            <w:r w:rsidRPr="00E61C43">
              <w:rPr>
                <w:rFonts w:ascii="Open Sans" w:eastAsia="Calibri" w:hAnsi="Open Sans" w:cs="Open Sans"/>
                <w:b/>
                <w:bCs/>
                <w:sz w:val="21"/>
                <w:szCs w:val="21"/>
              </w:rPr>
              <w:t>Non-IMRT, Non-IGRT</w:t>
            </w:r>
          </w:p>
        </w:tc>
        <w:tc>
          <w:tcPr>
            <w:tcW w:w="2772" w:type="dxa"/>
          </w:tcPr>
          <w:p w:rsidR="00E61C43" w:rsidRPr="00E61C43" w:rsidRDefault="00E61C43" w:rsidP="00E61C43">
            <w:pPr>
              <w:spacing w:line="300" w:lineRule="auto"/>
              <w:jc w:val="center"/>
              <w:rPr>
                <w:rFonts w:ascii="Open Sans" w:eastAsia="Calibri" w:hAnsi="Open Sans" w:cs="Open Sans"/>
                <w:bCs/>
                <w:sz w:val="21"/>
                <w:szCs w:val="21"/>
              </w:rPr>
            </w:pPr>
            <w:r w:rsidRPr="00E61C43">
              <w:rPr>
                <w:rFonts w:ascii="Open Sans" w:eastAsia="Calibri" w:hAnsi="Open Sans" w:cs="Open Sans"/>
                <w:bCs/>
                <w:sz w:val="21"/>
                <w:szCs w:val="21"/>
              </w:rPr>
              <w:t>32</w:t>
            </w:r>
          </w:p>
        </w:tc>
        <w:tc>
          <w:tcPr>
            <w:tcW w:w="1372" w:type="dxa"/>
          </w:tcPr>
          <w:p w:rsidR="00E61C43" w:rsidRPr="00E61C43" w:rsidRDefault="00E61C43" w:rsidP="00E61C43">
            <w:pPr>
              <w:spacing w:line="300" w:lineRule="auto"/>
              <w:jc w:val="center"/>
              <w:rPr>
                <w:rFonts w:ascii="Open Sans" w:eastAsia="Calibri" w:hAnsi="Open Sans" w:cs="Open Sans"/>
                <w:bCs/>
                <w:sz w:val="21"/>
                <w:szCs w:val="21"/>
              </w:rPr>
            </w:pPr>
            <w:r w:rsidRPr="00E61C43">
              <w:rPr>
                <w:rFonts w:ascii="Open Sans" w:eastAsia="Calibri" w:hAnsi="Open Sans" w:cs="Open Sans"/>
                <w:bCs/>
                <w:sz w:val="21"/>
                <w:szCs w:val="21"/>
              </w:rPr>
              <w:t>3162</w:t>
            </w:r>
          </w:p>
        </w:tc>
        <w:tc>
          <w:tcPr>
            <w:tcW w:w="1487" w:type="dxa"/>
          </w:tcPr>
          <w:p w:rsidR="00E61C43" w:rsidRPr="00E61C43" w:rsidRDefault="00E61C43" w:rsidP="00E61C43">
            <w:pPr>
              <w:spacing w:line="300" w:lineRule="auto"/>
              <w:jc w:val="center"/>
              <w:rPr>
                <w:rFonts w:ascii="Open Sans" w:eastAsia="Calibri" w:hAnsi="Open Sans" w:cs="Open Sans"/>
                <w:bCs/>
                <w:sz w:val="21"/>
                <w:szCs w:val="21"/>
              </w:rPr>
            </w:pPr>
            <w:r w:rsidRPr="00E61C43">
              <w:rPr>
                <w:rFonts w:ascii="Open Sans" w:eastAsia="Calibri" w:hAnsi="Open Sans" w:cs="Open Sans"/>
                <w:bCs/>
                <w:sz w:val="21"/>
                <w:szCs w:val="21"/>
              </w:rPr>
              <w:t>6323</w:t>
            </w:r>
          </w:p>
        </w:tc>
        <w:tc>
          <w:tcPr>
            <w:tcW w:w="1326" w:type="dxa"/>
          </w:tcPr>
          <w:p w:rsidR="00E61C43" w:rsidRPr="00E61C43" w:rsidRDefault="00E61C43" w:rsidP="00E61C43">
            <w:pPr>
              <w:spacing w:line="300" w:lineRule="auto"/>
              <w:jc w:val="center"/>
              <w:rPr>
                <w:rFonts w:ascii="Open Sans" w:eastAsia="Calibri" w:hAnsi="Open Sans" w:cs="Open Sans"/>
                <w:bCs/>
                <w:sz w:val="21"/>
                <w:szCs w:val="21"/>
              </w:rPr>
            </w:pPr>
            <w:r w:rsidRPr="00E61C43">
              <w:rPr>
                <w:rFonts w:ascii="Open Sans" w:eastAsia="Calibri" w:hAnsi="Open Sans" w:cs="Open Sans"/>
                <w:bCs/>
                <w:sz w:val="21"/>
                <w:szCs w:val="21"/>
              </w:rPr>
              <w:t>7904</w:t>
            </w:r>
          </w:p>
        </w:tc>
      </w:tr>
      <w:tr w:rsidR="00E61C43" w:rsidRPr="00E61C43" w:rsidTr="00BD798C">
        <w:trPr>
          <w:trHeight w:val="436"/>
          <w:jc w:val="center"/>
        </w:trPr>
        <w:tc>
          <w:tcPr>
            <w:tcW w:w="2973" w:type="dxa"/>
          </w:tcPr>
          <w:p w:rsidR="00E61C43" w:rsidRPr="00E61C43" w:rsidRDefault="00E61C43" w:rsidP="00E61C43">
            <w:pPr>
              <w:spacing w:line="300" w:lineRule="auto"/>
              <w:jc w:val="center"/>
              <w:rPr>
                <w:rFonts w:ascii="Open Sans" w:eastAsia="Calibri" w:hAnsi="Open Sans" w:cs="Open Sans"/>
                <w:bCs/>
                <w:sz w:val="21"/>
                <w:szCs w:val="21"/>
              </w:rPr>
            </w:pPr>
            <w:r w:rsidRPr="00E61C43">
              <w:rPr>
                <w:rFonts w:ascii="Open Sans" w:eastAsia="Calibri" w:hAnsi="Open Sans" w:cs="Open Sans"/>
                <w:b/>
                <w:bCs/>
                <w:sz w:val="21"/>
                <w:szCs w:val="21"/>
              </w:rPr>
              <w:t>IMRT only without OBI</w:t>
            </w:r>
          </w:p>
        </w:tc>
        <w:tc>
          <w:tcPr>
            <w:tcW w:w="2772" w:type="dxa"/>
          </w:tcPr>
          <w:p w:rsidR="00E61C43" w:rsidRPr="00E61C43" w:rsidRDefault="00E61C43" w:rsidP="00E61C43">
            <w:pPr>
              <w:spacing w:line="300" w:lineRule="auto"/>
              <w:jc w:val="center"/>
              <w:rPr>
                <w:rFonts w:ascii="Open Sans" w:eastAsia="Calibri" w:hAnsi="Open Sans" w:cs="Open Sans"/>
                <w:bCs/>
                <w:sz w:val="21"/>
                <w:szCs w:val="21"/>
              </w:rPr>
            </w:pPr>
            <w:r w:rsidRPr="00E61C43">
              <w:rPr>
                <w:rFonts w:ascii="Open Sans" w:eastAsia="Calibri" w:hAnsi="Open Sans" w:cs="Open Sans"/>
                <w:bCs/>
                <w:sz w:val="21"/>
                <w:szCs w:val="21"/>
              </w:rPr>
              <w:t>32</w:t>
            </w:r>
          </w:p>
        </w:tc>
        <w:tc>
          <w:tcPr>
            <w:tcW w:w="1372" w:type="dxa"/>
          </w:tcPr>
          <w:p w:rsidR="00E61C43" w:rsidRPr="00E61C43" w:rsidRDefault="00E61C43" w:rsidP="00E61C43">
            <w:pPr>
              <w:spacing w:line="300" w:lineRule="auto"/>
              <w:jc w:val="center"/>
              <w:rPr>
                <w:rFonts w:ascii="Open Sans" w:eastAsia="Calibri" w:hAnsi="Open Sans" w:cs="Open Sans"/>
                <w:bCs/>
                <w:sz w:val="21"/>
                <w:szCs w:val="21"/>
              </w:rPr>
            </w:pPr>
            <w:r w:rsidRPr="00E61C43">
              <w:rPr>
                <w:rFonts w:ascii="Open Sans" w:eastAsia="Calibri" w:hAnsi="Open Sans" w:cs="Open Sans"/>
                <w:bCs/>
                <w:sz w:val="21"/>
                <w:szCs w:val="21"/>
              </w:rPr>
              <w:t>3162</w:t>
            </w:r>
          </w:p>
        </w:tc>
        <w:tc>
          <w:tcPr>
            <w:tcW w:w="1487" w:type="dxa"/>
          </w:tcPr>
          <w:p w:rsidR="00E61C43" w:rsidRPr="00E61C43" w:rsidRDefault="00E61C43" w:rsidP="00E61C43">
            <w:pPr>
              <w:spacing w:line="300" w:lineRule="auto"/>
              <w:jc w:val="center"/>
              <w:rPr>
                <w:rFonts w:ascii="Open Sans" w:eastAsia="Calibri" w:hAnsi="Open Sans" w:cs="Open Sans"/>
                <w:bCs/>
                <w:sz w:val="21"/>
                <w:szCs w:val="21"/>
              </w:rPr>
            </w:pPr>
            <w:r w:rsidRPr="00E61C43">
              <w:rPr>
                <w:rFonts w:ascii="Open Sans" w:eastAsia="Calibri" w:hAnsi="Open Sans" w:cs="Open Sans"/>
                <w:bCs/>
                <w:sz w:val="21"/>
                <w:szCs w:val="21"/>
              </w:rPr>
              <w:t>6323</w:t>
            </w:r>
          </w:p>
        </w:tc>
        <w:tc>
          <w:tcPr>
            <w:tcW w:w="1326" w:type="dxa"/>
          </w:tcPr>
          <w:p w:rsidR="00E61C43" w:rsidRPr="00E61C43" w:rsidRDefault="00E61C43" w:rsidP="00E61C43">
            <w:pPr>
              <w:spacing w:line="300" w:lineRule="auto"/>
              <w:jc w:val="center"/>
              <w:rPr>
                <w:rFonts w:ascii="Open Sans" w:eastAsia="Calibri" w:hAnsi="Open Sans" w:cs="Open Sans"/>
                <w:bCs/>
                <w:sz w:val="21"/>
                <w:szCs w:val="21"/>
              </w:rPr>
            </w:pPr>
            <w:r w:rsidRPr="00E61C43">
              <w:rPr>
                <w:rFonts w:ascii="Open Sans" w:eastAsia="Calibri" w:hAnsi="Open Sans" w:cs="Open Sans"/>
                <w:bCs/>
                <w:sz w:val="21"/>
                <w:szCs w:val="21"/>
              </w:rPr>
              <w:t>7904</w:t>
            </w:r>
          </w:p>
        </w:tc>
      </w:tr>
      <w:tr w:rsidR="00E61C43" w:rsidRPr="00E61C43" w:rsidTr="00BD798C">
        <w:trPr>
          <w:trHeight w:val="455"/>
          <w:jc w:val="center"/>
        </w:trPr>
        <w:tc>
          <w:tcPr>
            <w:tcW w:w="2973" w:type="dxa"/>
          </w:tcPr>
          <w:p w:rsidR="00E61C43" w:rsidRPr="00E61C43" w:rsidRDefault="00E61C43" w:rsidP="00E61C43">
            <w:pPr>
              <w:spacing w:line="300" w:lineRule="auto"/>
              <w:jc w:val="center"/>
              <w:rPr>
                <w:rFonts w:ascii="Open Sans" w:eastAsia="Calibri" w:hAnsi="Open Sans" w:cs="Open Sans"/>
                <w:bCs/>
                <w:sz w:val="21"/>
                <w:szCs w:val="21"/>
              </w:rPr>
            </w:pPr>
            <w:r w:rsidRPr="00E61C43">
              <w:rPr>
                <w:rFonts w:ascii="Open Sans" w:eastAsia="Calibri" w:hAnsi="Open Sans" w:cs="Open Sans"/>
                <w:b/>
                <w:bCs/>
                <w:sz w:val="21"/>
                <w:szCs w:val="21"/>
              </w:rPr>
              <w:t>IMRT with OBI</w:t>
            </w:r>
          </w:p>
        </w:tc>
        <w:tc>
          <w:tcPr>
            <w:tcW w:w="2772" w:type="dxa"/>
          </w:tcPr>
          <w:p w:rsidR="00E61C43" w:rsidRPr="00E61C43" w:rsidRDefault="00E61C43" w:rsidP="00E61C43">
            <w:pPr>
              <w:spacing w:line="300" w:lineRule="auto"/>
              <w:jc w:val="center"/>
              <w:rPr>
                <w:rFonts w:ascii="Open Sans" w:eastAsia="Calibri" w:hAnsi="Open Sans" w:cs="Open Sans"/>
                <w:bCs/>
                <w:sz w:val="21"/>
                <w:szCs w:val="21"/>
              </w:rPr>
            </w:pPr>
            <w:r w:rsidRPr="00E61C43">
              <w:rPr>
                <w:rFonts w:ascii="Open Sans" w:eastAsia="Calibri" w:hAnsi="Open Sans" w:cs="Open Sans"/>
                <w:bCs/>
                <w:sz w:val="21"/>
                <w:szCs w:val="21"/>
              </w:rPr>
              <w:t>38</w:t>
            </w:r>
          </w:p>
        </w:tc>
        <w:tc>
          <w:tcPr>
            <w:tcW w:w="1372" w:type="dxa"/>
          </w:tcPr>
          <w:p w:rsidR="00E61C43" w:rsidRPr="00E61C43" w:rsidRDefault="00E61C43" w:rsidP="00E61C43">
            <w:pPr>
              <w:spacing w:line="300" w:lineRule="auto"/>
              <w:jc w:val="center"/>
              <w:rPr>
                <w:rFonts w:ascii="Open Sans" w:eastAsia="Calibri" w:hAnsi="Open Sans" w:cs="Open Sans"/>
                <w:bCs/>
                <w:sz w:val="21"/>
                <w:szCs w:val="21"/>
              </w:rPr>
            </w:pPr>
            <w:r w:rsidRPr="00E61C43">
              <w:rPr>
                <w:rFonts w:ascii="Open Sans" w:eastAsia="Calibri" w:hAnsi="Open Sans" w:cs="Open Sans"/>
                <w:bCs/>
                <w:sz w:val="21"/>
                <w:szCs w:val="21"/>
              </w:rPr>
              <w:t>3754</w:t>
            </w:r>
          </w:p>
        </w:tc>
        <w:tc>
          <w:tcPr>
            <w:tcW w:w="1487" w:type="dxa"/>
          </w:tcPr>
          <w:p w:rsidR="00E61C43" w:rsidRPr="00E61C43" w:rsidRDefault="00E61C43" w:rsidP="00E61C43">
            <w:pPr>
              <w:spacing w:line="300" w:lineRule="auto"/>
              <w:jc w:val="center"/>
              <w:rPr>
                <w:rFonts w:ascii="Open Sans" w:eastAsia="Calibri" w:hAnsi="Open Sans" w:cs="Open Sans"/>
                <w:bCs/>
                <w:sz w:val="21"/>
                <w:szCs w:val="21"/>
              </w:rPr>
            </w:pPr>
            <w:r w:rsidRPr="00E61C43">
              <w:rPr>
                <w:rFonts w:ascii="Open Sans" w:eastAsia="Calibri" w:hAnsi="Open Sans" w:cs="Open Sans"/>
                <w:bCs/>
                <w:sz w:val="21"/>
                <w:szCs w:val="21"/>
              </w:rPr>
              <w:t>7509</w:t>
            </w:r>
          </w:p>
        </w:tc>
        <w:tc>
          <w:tcPr>
            <w:tcW w:w="1326" w:type="dxa"/>
          </w:tcPr>
          <w:p w:rsidR="00E61C43" w:rsidRPr="00E61C43" w:rsidRDefault="00E61C43" w:rsidP="00E61C43">
            <w:pPr>
              <w:spacing w:line="300" w:lineRule="auto"/>
              <w:jc w:val="center"/>
              <w:rPr>
                <w:rFonts w:ascii="Open Sans" w:eastAsia="Calibri" w:hAnsi="Open Sans" w:cs="Open Sans"/>
                <w:bCs/>
                <w:sz w:val="21"/>
                <w:szCs w:val="21"/>
              </w:rPr>
            </w:pPr>
            <w:r w:rsidRPr="00E61C43">
              <w:rPr>
                <w:rFonts w:ascii="Open Sans" w:eastAsia="Calibri" w:hAnsi="Open Sans" w:cs="Open Sans"/>
                <w:bCs/>
                <w:sz w:val="21"/>
                <w:szCs w:val="21"/>
              </w:rPr>
              <w:t>9386</w:t>
            </w:r>
          </w:p>
        </w:tc>
      </w:tr>
      <w:tr w:rsidR="00E61C43" w:rsidRPr="00E61C43" w:rsidTr="00BD798C">
        <w:trPr>
          <w:trHeight w:val="378"/>
          <w:jc w:val="center"/>
        </w:trPr>
        <w:tc>
          <w:tcPr>
            <w:tcW w:w="2973" w:type="dxa"/>
          </w:tcPr>
          <w:p w:rsidR="00E61C43" w:rsidRPr="00E61C43" w:rsidRDefault="00E61C43" w:rsidP="00E61C43">
            <w:pPr>
              <w:spacing w:line="300" w:lineRule="auto"/>
              <w:jc w:val="center"/>
              <w:rPr>
                <w:rFonts w:ascii="Open Sans" w:eastAsia="Calibri" w:hAnsi="Open Sans" w:cs="Open Sans"/>
                <w:bCs/>
                <w:sz w:val="21"/>
                <w:szCs w:val="21"/>
              </w:rPr>
            </w:pPr>
            <w:r w:rsidRPr="00E61C43">
              <w:rPr>
                <w:rFonts w:ascii="Open Sans" w:eastAsia="Calibri" w:hAnsi="Open Sans" w:cs="Open Sans"/>
                <w:b/>
                <w:bCs/>
                <w:sz w:val="21"/>
                <w:szCs w:val="21"/>
              </w:rPr>
              <w:t>SRS only</w:t>
            </w:r>
          </w:p>
        </w:tc>
        <w:tc>
          <w:tcPr>
            <w:tcW w:w="2772" w:type="dxa"/>
          </w:tcPr>
          <w:p w:rsidR="00E61C43" w:rsidRPr="00E61C43" w:rsidRDefault="00E61C43" w:rsidP="00E61C43">
            <w:pPr>
              <w:spacing w:line="300" w:lineRule="auto"/>
              <w:jc w:val="center"/>
              <w:rPr>
                <w:rFonts w:ascii="Open Sans" w:eastAsia="Calibri" w:hAnsi="Open Sans" w:cs="Open Sans"/>
                <w:bCs/>
                <w:sz w:val="21"/>
                <w:szCs w:val="21"/>
              </w:rPr>
            </w:pPr>
            <w:r w:rsidRPr="00E61C43">
              <w:rPr>
                <w:rFonts w:ascii="Open Sans" w:eastAsia="Calibri" w:hAnsi="Open Sans" w:cs="Open Sans"/>
                <w:bCs/>
                <w:sz w:val="21"/>
                <w:szCs w:val="21"/>
              </w:rPr>
              <w:t>14</w:t>
            </w:r>
          </w:p>
        </w:tc>
        <w:tc>
          <w:tcPr>
            <w:tcW w:w="1372" w:type="dxa"/>
          </w:tcPr>
          <w:p w:rsidR="00E61C43" w:rsidRPr="00E61C43" w:rsidRDefault="00E61C43" w:rsidP="00E61C43">
            <w:pPr>
              <w:spacing w:line="300" w:lineRule="auto"/>
              <w:jc w:val="center"/>
              <w:rPr>
                <w:rFonts w:ascii="Open Sans" w:eastAsia="Calibri" w:hAnsi="Open Sans" w:cs="Open Sans"/>
                <w:bCs/>
                <w:sz w:val="21"/>
                <w:szCs w:val="21"/>
              </w:rPr>
            </w:pPr>
            <w:r w:rsidRPr="00E61C43">
              <w:rPr>
                <w:rFonts w:ascii="Open Sans" w:eastAsia="Calibri" w:hAnsi="Open Sans" w:cs="Open Sans"/>
                <w:bCs/>
                <w:sz w:val="21"/>
                <w:szCs w:val="21"/>
              </w:rPr>
              <w:t>1383</w:t>
            </w:r>
          </w:p>
        </w:tc>
        <w:tc>
          <w:tcPr>
            <w:tcW w:w="1487" w:type="dxa"/>
          </w:tcPr>
          <w:p w:rsidR="00E61C43" w:rsidRPr="00E61C43" w:rsidRDefault="00E61C43" w:rsidP="00E61C43">
            <w:pPr>
              <w:spacing w:line="300" w:lineRule="auto"/>
              <w:jc w:val="center"/>
              <w:rPr>
                <w:rFonts w:ascii="Open Sans" w:eastAsia="Calibri" w:hAnsi="Open Sans" w:cs="Open Sans"/>
                <w:bCs/>
                <w:sz w:val="21"/>
                <w:szCs w:val="21"/>
              </w:rPr>
            </w:pPr>
            <w:r w:rsidRPr="00E61C43">
              <w:rPr>
                <w:rFonts w:ascii="Open Sans" w:eastAsia="Calibri" w:hAnsi="Open Sans" w:cs="Open Sans"/>
                <w:bCs/>
                <w:sz w:val="21"/>
                <w:szCs w:val="21"/>
              </w:rPr>
              <w:t>2766</w:t>
            </w:r>
          </w:p>
        </w:tc>
        <w:tc>
          <w:tcPr>
            <w:tcW w:w="1326" w:type="dxa"/>
          </w:tcPr>
          <w:p w:rsidR="00E61C43" w:rsidRPr="00E61C43" w:rsidRDefault="00E61C43" w:rsidP="00E61C43">
            <w:pPr>
              <w:spacing w:line="300" w:lineRule="auto"/>
              <w:jc w:val="center"/>
              <w:rPr>
                <w:rFonts w:ascii="Open Sans" w:eastAsia="Calibri" w:hAnsi="Open Sans" w:cs="Open Sans"/>
                <w:bCs/>
                <w:sz w:val="21"/>
                <w:szCs w:val="21"/>
              </w:rPr>
            </w:pPr>
            <w:r w:rsidRPr="00E61C43">
              <w:rPr>
                <w:rFonts w:ascii="Open Sans" w:eastAsia="Calibri" w:hAnsi="Open Sans" w:cs="Open Sans"/>
                <w:bCs/>
                <w:sz w:val="21"/>
                <w:szCs w:val="21"/>
              </w:rPr>
              <w:t>3458</w:t>
            </w:r>
          </w:p>
        </w:tc>
      </w:tr>
      <w:tr w:rsidR="00E61C43" w:rsidRPr="00E61C43" w:rsidTr="00BD798C">
        <w:trPr>
          <w:trHeight w:val="378"/>
          <w:jc w:val="center"/>
        </w:trPr>
        <w:tc>
          <w:tcPr>
            <w:tcW w:w="2973" w:type="dxa"/>
          </w:tcPr>
          <w:p w:rsidR="00E61C43" w:rsidRPr="00E61C43" w:rsidRDefault="00E61C43" w:rsidP="00E61C43">
            <w:pPr>
              <w:spacing w:line="300" w:lineRule="auto"/>
              <w:jc w:val="center"/>
              <w:rPr>
                <w:rFonts w:ascii="Open Sans" w:eastAsia="Calibri" w:hAnsi="Open Sans" w:cs="Open Sans"/>
                <w:b/>
                <w:bCs/>
                <w:sz w:val="21"/>
                <w:szCs w:val="21"/>
              </w:rPr>
            </w:pPr>
            <w:r w:rsidRPr="00E61C43">
              <w:rPr>
                <w:rFonts w:ascii="Open Sans" w:eastAsia="Calibri" w:hAnsi="Open Sans" w:cs="Open Sans"/>
                <w:b/>
                <w:bCs/>
                <w:sz w:val="21"/>
                <w:szCs w:val="21"/>
              </w:rPr>
              <w:t>SBRT only</w:t>
            </w:r>
          </w:p>
        </w:tc>
        <w:tc>
          <w:tcPr>
            <w:tcW w:w="2772" w:type="dxa"/>
          </w:tcPr>
          <w:p w:rsidR="00E61C43" w:rsidRPr="00E61C43" w:rsidRDefault="00E61C43" w:rsidP="00E61C43">
            <w:pPr>
              <w:spacing w:line="300" w:lineRule="auto"/>
              <w:jc w:val="center"/>
              <w:rPr>
                <w:rFonts w:ascii="Open Sans" w:eastAsia="Calibri" w:hAnsi="Open Sans" w:cs="Open Sans"/>
                <w:bCs/>
                <w:sz w:val="21"/>
                <w:szCs w:val="21"/>
              </w:rPr>
            </w:pPr>
            <w:r w:rsidRPr="00E61C43">
              <w:rPr>
                <w:rFonts w:ascii="Open Sans" w:eastAsia="Calibri" w:hAnsi="Open Sans" w:cs="Open Sans"/>
                <w:bCs/>
                <w:sz w:val="21"/>
                <w:szCs w:val="21"/>
              </w:rPr>
              <w:t>16</w:t>
            </w:r>
          </w:p>
        </w:tc>
        <w:tc>
          <w:tcPr>
            <w:tcW w:w="1372" w:type="dxa"/>
          </w:tcPr>
          <w:p w:rsidR="00E61C43" w:rsidRPr="00E61C43" w:rsidRDefault="00E61C43" w:rsidP="00E61C43">
            <w:pPr>
              <w:spacing w:line="300" w:lineRule="auto"/>
              <w:jc w:val="center"/>
              <w:rPr>
                <w:rFonts w:ascii="Open Sans" w:eastAsia="Calibri" w:hAnsi="Open Sans" w:cs="Open Sans"/>
                <w:bCs/>
                <w:sz w:val="21"/>
                <w:szCs w:val="21"/>
              </w:rPr>
            </w:pPr>
            <w:r w:rsidRPr="00E61C43">
              <w:rPr>
                <w:rFonts w:ascii="Open Sans" w:eastAsia="Calibri" w:hAnsi="Open Sans" w:cs="Open Sans"/>
                <w:bCs/>
                <w:sz w:val="21"/>
                <w:szCs w:val="21"/>
              </w:rPr>
              <w:t>1581</w:t>
            </w:r>
          </w:p>
        </w:tc>
        <w:tc>
          <w:tcPr>
            <w:tcW w:w="1487" w:type="dxa"/>
          </w:tcPr>
          <w:p w:rsidR="00E61C43" w:rsidRPr="00E61C43" w:rsidRDefault="00E61C43" w:rsidP="00E61C43">
            <w:pPr>
              <w:spacing w:line="300" w:lineRule="auto"/>
              <w:jc w:val="center"/>
              <w:rPr>
                <w:rFonts w:ascii="Open Sans" w:eastAsia="Calibri" w:hAnsi="Open Sans" w:cs="Open Sans"/>
                <w:bCs/>
                <w:sz w:val="21"/>
                <w:szCs w:val="21"/>
              </w:rPr>
            </w:pPr>
            <w:r w:rsidRPr="00E61C43">
              <w:rPr>
                <w:rFonts w:ascii="Open Sans" w:eastAsia="Calibri" w:hAnsi="Open Sans" w:cs="Open Sans"/>
                <w:bCs/>
                <w:sz w:val="21"/>
                <w:szCs w:val="21"/>
              </w:rPr>
              <w:t>3162</w:t>
            </w:r>
          </w:p>
        </w:tc>
        <w:tc>
          <w:tcPr>
            <w:tcW w:w="1326" w:type="dxa"/>
          </w:tcPr>
          <w:p w:rsidR="00E61C43" w:rsidRPr="00E61C43" w:rsidRDefault="00E61C43" w:rsidP="00E61C43">
            <w:pPr>
              <w:spacing w:line="300" w:lineRule="auto"/>
              <w:jc w:val="center"/>
              <w:rPr>
                <w:rFonts w:ascii="Open Sans" w:eastAsia="Calibri" w:hAnsi="Open Sans" w:cs="Open Sans"/>
                <w:bCs/>
                <w:sz w:val="21"/>
                <w:szCs w:val="21"/>
              </w:rPr>
            </w:pPr>
            <w:r w:rsidRPr="00E61C43">
              <w:rPr>
                <w:rFonts w:ascii="Open Sans" w:eastAsia="Calibri" w:hAnsi="Open Sans" w:cs="Open Sans"/>
                <w:bCs/>
                <w:sz w:val="21"/>
                <w:szCs w:val="21"/>
              </w:rPr>
              <w:t>3952</w:t>
            </w:r>
          </w:p>
        </w:tc>
      </w:tr>
      <w:tr w:rsidR="00E61C43" w:rsidRPr="00E61C43" w:rsidTr="00BD798C">
        <w:trPr>
          <w:trHeight w:val="378"/>
          <w:jc w:val="center"/>
        </w:trPr>
        <w:tc>
          <w:tcPr>
            <w:tcW w:w="2973" w:type="dxa"/>
          </w:tcPr>
          <w:p w:rsidR="00E61C43" w:rsidRPr="00E61C43" w:rsidRDefault="00E61C43" w:rsidP="00E61C43">
            <w:pPr>
              <w:spacing w:line="300" w:lineRule="auto"/>
              <w:jc w:val="center"/>
              <w:rPr>
                <w:rFonts w:ascii="Open Sans" w:eastAsia="Calibri" w:hAnsi="Open Sans" w:cs="Open Sans"/>
                <w:b/>
                <w:bCs/>
                <w:sz w:val="21"/>
                <w:szCs w:val="21"/>
              </w:rPr>
            </w:pPr>
            <w:r w:rsidRPr="00E61C43">
              <w:rPr>
                <w:rFonts w:ascii="Open Sans" w:eastAsia="Calibri" w:hAnsi="Open Sans" w:cs="Open Sans"/>
                <w:b/>
                <w:bCs/>
                <w:sz w:val="21"/>
                <w:szCs w:val="21"/>
              </w:rPr>
              <w:t>Hybrid MRTs</w:t>
            </w:r>
          </w:p>
        </w:tc>
        <w:tc>
          <w:tcPr>
            <w:tcW w:w="2772" w:type="dxa"/>
          </w:tcPr>
          <w:p w:rsidR="00E61C43" w:rsidRPr="00E61C43" w:rsidRDefault="00E61C43" w:rsidP="00E61C43">
            <w:pPr>
              <w:spacing w:line="300" w:lineRule="auto"/>
              <w:jc w:val="center"/>
              <w:rPr>
                <w:rFonts w:ascii="Open Sans" w:eastAsia="Calibri" w:hAnsi="Open Sans" w:cs="Open Sans"/>
                <w:bCs/>
                <w:sz w:val="21"/>
                <w:szCs w:val="21"/>
              </w:rPr>
            </w:pPr>
            <w:r w:rsidRPr="00E61C43">
              <w:rPr>
                <w:rFonts w:ascii="Open Sans" w:eastAsia="Calibri" w:hAnsi="Open Sans" w:cs="Open Sans"/>
                <w:bCs/>
                <w:sz w:val="21"/>
                <w:szCs w:val="21"/>
              </w:rPr>
              <w:t>32</w:t>
            </w:r>
          </w:p>
        </w:tc>
        <w:tc>
          <w:tcPr>
            <w:tcW w:w="1372" w:type="dxa"/>
          </w:tcPr>
          <w:p w:rsidR="00E61C43" w:rsidRPr="00E61C43" w:rsidRDefault="00E61C43" w:rsidP="00E61C43">
            <w:pPr>
              <w:spacing w:line="300" w:lineRule="auto"/>
              <w:jc w:val="center"/>
              <w:rPr>
                <w:rFonts w:ascii="Open Sans" w:eastAsia="Calibri" w:hAnsi="Open Sans" w:cs="Open Sans"/>
                <w:bCs/>
                <w:sz w:val="21"/>
                <w:szCs w:val="21"/>
              </w:rPr>
            </w:pPr>
            <w:r w:rsidRPr="00E61C43">
              <w:rPr>
                <w:rFonts w:ascii="Open Sans" w:eastAsia="Calibri" w:hAnsi="Open Sans" w:cs="Open Sans"/>
                <w:bCs/>
                <w:sz w:val="21"/>
                <w:szCs w:val="21"/>
              </w:rPr>
              <w:t>3162</w:t>
            </w:r>
          </w:p>
        </w:tc>
        <w:tc>
          <w:tcPr>
            <w:tcW w:w="1487" w:type="dxa"/>
          </w:tcPr>
          <w:p w:rsidR="00E61C43" w:rsidRPr="00E61C43" w:rsidRDefault="00E61C43" w:rsidP="00E61C43">
            <w:pPr>
              <w:spacing w:line="300" w:lineRule="auto"/>
              <w:jc w:val="center"/>
              <w:rPr>
                <w:rFonts w:ascii="Open Sans" w:eastAsia="Calibri" w:hAnsi="Open Sans" w:cs="Open Sans"/>
                <w:bCs/>
                <w:sz w:val="21"/>
                <w:szCs w:val="21"/>
              </w:rPr>
            </w:pPr>
            <w:r w:rsidRPr="00E61C43">
              <w:rPr>
                <w:rFonts w:ascii="Open Sans" w:eastAsia="Calibri" w:hAnsi="Open Sans" w:cs="Open Sans"/>
                <w:bCs/>
                <w:sz w:val="21"/>
                <w:szCs w:val="21"/>
              </w:rPr>
              <w:t>6323</w:t>
            </w:r>
          </w:p>
        </w:tc>
        <w:tc>
          <w:tcPr>
            <w:tcW w:w="1326" w:type="dxa"/>
          </w:tcPr>
          <w:p w:rsidR="00E61C43" w:rsidRPr="00E61C43" w:rsidRDefault="00E61C43" w:rsidP="00E61C43">
            <w:pPr>
              <w:spacing w:line="300" w:lineRule="auto"/>
              <w:jc w:val="center"/>
              <w:rPr>
                <w:rFonts w:ascii="Open Sans" w:eastAsia="Calibri" w:hAnsi="Open Sans" w:cs="Open Sans"/>
                <w:bCs/>
                <w:sz w:val="21"/>
                <w:szCs w:val="21"/>
              </w:rPr>
            </w:pPr>
            <w:r w:rsidRPr="00E61C43">
              <w:rPr>
                <w:rFonts w:ascii="Open Sans" w:eastAsia="Calibri" w:hAnsi="Open Sans" w:cs="Open Sans"/>
                <w:bCs/>
                <w:sz w:val="21"/>
                <w:szCs w:val="21"/>
              </w:rPr>
              <w:t>7904</w:t>
            </w:r>
          </w:p>
        </w:tc>
      </w:tr>
    </w:tbl>
    <w:p w:rsidR="00E61C43" w:rsidRPr="00E61C43" w:rsidRDefault="00E61C43" w:rsidP="00E61C43">
      <w:pPr>
        <w:spacing w:after="0" w:line="300" w:lineRule="auto"/>
        <w:ind w:left="1800"/>
        <w:jc w:val="both"/>
        <w:rPr>
          <w:rFonts w:ascii="Open Sans" w:eastAsia="Calibri" w:hAnsi="Open Sans" w:cs="Open Sans"/>
          <w:bCs/>
          <w:sz w:val="21"/>
          <w:szCs w:val="21"/>
        </w:rPr>
      </w:pPr>
    </w:p>
    <w:p w:rsidR="00E61C43" w:rsidRPr="00E61C43" w:rsidRDefault="00E61C43" w:rsidP="00E61C43">
      <w:pPr>
        <w:numPr>
          <w:ilvl w:val="1"/>
          <w:numId w:val="2"/>
        </w:numPr>
        <w:spacing w:after="360" w:line="300" w:lineRule="auto"/>
        <w:jc w:val="both"/>
        <w:rPr>
          <w:rFonts w:ascii="Open Sans" w:eastAsia="Calibri" w:hAnsi="Open Sans" w:cs="Open Sans"/>
          <w:bCs/>
          <w:sz w:val="21"/>
          <w:szCs w:val="21"/>
        </w:rPr>
      </w:pPr>
      <w:r w:rsidRPr="00E61C43">
        <w:rPr>
          <w:rFonts w:ascii="Open Sans" w:eastAsia="Calibri" w:hAnsi="Open Sans" w:cs="Open Sans"/>
          <w:bCs/>
          <w:sz w:val="21"/>
          <w:szCs w:val="21"/>
        </w:rPr>
        <w:t>Applicants should use the treatment codes provided on the HSDA website to calculate utilization.</w:t>
      </w:r>
    </w:p>
    <w:p w:rsidR="00E61C43" w:rsidRDefault="00E61C43" w:rsidP="00E61C43">
      <w:pPr>
        <w:numPr>
          <w:ilvl w:val="1"/>
          <w:numId w:val="2"/>
        </w:numPr>
        <w:spacing w:after="360" w:line="300" w:lineRule="auto"/>
        <w:jc w:val="both"/>
        <w:rPr>
          <w:rFonts w:ascii="Open Sans" w:eastAsia="Calibri" w:hAnsi="Open Sans" w:cs="Open Sans"/>
          <w:bCs/>
          <w:sz w:val="21"/>
          <w:szCs w:val="21"/>
        </w:rPr>
      </w:pPr>
      <w:r w:rsidRPr="00E61C43">
        <w:rPr>
          <w:rFonts w:ascii="Open Sans" w:eastAsia="Calibri" w:hAnsi="Open Sans" w:cs="Open Sans"/>
          <w:bCs/>
          <w:sz w:val="21"/>
          <w:szCs w:val="21"/>
        </w:rPr>
        <w:t>An applicant proposing a new Linear Accelerator should project a minimum of at least 3,162 MRT procedures in the first year of service in its proposed Service Area, building to a minimum of 6,323 procedures per year by the third year of service and for every year thereafter.</w:t>
      </w:r>
    </w:p>
    <w:p w:rsidR="00E61C43" w:rsidRDefault="00E61C43" w:rsidP="00E61C43">
      <w:pPr>
        <w:spacing w:after="360" w:line="300" w:lineRule="auto"/>
        <w:ind w:left="1080"/>
        <w:jc w:val="both"/>
        <w:rPr>
          <w:rFonts w:ascii="Open Sans" w:eastAsia="Calibri" w:hAnsi="Open Sans" w:cs="Open Sans"/>
          <w:bCs/>
          <w:sz w:val="21"/>
          <w:szCs w:val="21"/>
        </w:rPr>
      </w:pPr>
    </w:p>
    <w:p w:rsidR="00E61C43" w:rsidRPr="00E61C43" w:rsidRDefault="00E61C43" w:rsidP="00E61C43">
      <w:pPr>
        <w:spacing w:after="360" w:line="300" w:lineRule="auto"/>
        <w:ind w:left="1080"/>
        <w:jc w:val="both"/>
        <w:rPr>
          <w:rFonts w:ascii="Open Sans" w:eastAsia="Calibri" w:hAnsi="Open Sans" w:cs="Open Sans"/>
          <w:bCs/>
          <w:sz w:val="21"/>
          <w:szCs w:val="21"/>
        </w:rPr>
      </w:pPr>
    </w:p>
    <w:p w:rsidR="00E61C43" w:rsidRPr="00E61C43" w:rsidRDefault="00E61C43" w:rsidP="00E61C43">
      <w:pPr>
        <w:numPr>
          <w:ilvl w:val="1"/>
          <w:numId w:val="2"/>
        </w:numPr>
        <w:spacing w:after="360" w:line="300" w:lineRule="auto"/>
        <w:jc w:val="both"/>
        <w:rPr>
          <w:rFonts w:ascii="Open Sans" w:eastAsia="Calibri" w:hAnsi="Open Sans" w:cs="Open Sans"/>
          <w:bCs/>
          <w:sz w:val="21"/>
          <w:szCs w:val="21"/>
        </w:rPr>
      </w:pPr>
      <w:r w:rsidRPr="00E61C43">
        <w:rPr>
          <w:rFonts w:ascii="Open Sans" w:eastAsia="Calibri" w:hAnsi="Open Sans" w:cs="Open Sans"/>
          <w:bCs/>
          <w:sz w:val="21"/>
          <w:szCs w:val="21"/>
        </w:rPr>
        <w:lastRenderedPageBreak/>
        <w:t>Applicants should utilize the publicly available Tennessee’s Cancer Registry (</w:t>
      </w:r>
      <w:hyperlink r:id="rId9" w:history="1">
        <w:r w:rsidRPr="00E61C43">
          <w:rPr>
            <w:rFonts w:ascii="Open Sans" w:eastAsia="Calibri" w:hAnsi="Open Sans" w:cs="Open Sans"/>
            <w:bCs/>
            <w:color w:val="131E29"/>
            <w:sz w:val="21"/>
            <w:szCs w:val="21"/>
            <w:u w:val="single"/>
          </w:rPr>
          <w:t>https://www.tn.gov/health/health-program-areas/tcr.html</w:t>
        </w:r>
      </w:hyperlink>
      <w:r w:rsidRPr="00E61C43">
        <w:rPr>
          <w:rFonts w:ascii="Open Sans" w:eastAsia="Calibri" w:hAnsi="Open Sans" w:cs="Open Sans"/>
          <w:bCs/>
          <w:sz w:val="21"/>
          <w:szCs w:val="21"/>
        </w:rPr>
        <w:t>) data to estimate the need within the proposed service area.  These data should then be compared to the data included in the HSDA’s Medical Equipment Registry for the defined market to determine the need.</w:t>
      </w:r>
    </w:p>
    <w:p w:rsidR="00E61C43" w:rsidRPr="00E61C43" w:rsidRDefault="00E61C43" w:rsidP="00E61C43">
      <w:pPr>
        <w:spacing w:after="360" w:line="300" w:lineRule="auto"/>
        <w:ind w:left="1080"/>
        <w:jc w:val="both"/>
        <w:rPr>
          <w:rFonts w:ascii="Open Sans" w:eastAsia="Calibri" w:hAnsi="Open Sans" w:cs="Open Sans"/>
          <w:bCs/>
          <w:sz w:val="21"/>
          <w:szCs w:val="21"/>
        </w:rPr>
      </w:pPr>
      <w:r w:rsidRPr="00E61C43">
        <w:rPr>
          <w:rFonts w:ascii="Open Sans" w:eastAsia="Calibri" w:hAnsi="Open Sans" w:cs="Open Sans"/>
          <w:bCs/>
          <w:sz w:val="21"/>
          <w:szCs w:val="21"/>
        </w:rPr>
        <w:t>To estimate the number of radiation treatment patients in its proposed service area, the applicant should multiply the number of cancer patients by 60%. A minimum of 600 cancer patients and 360 radiation patients should reside in the proposed service area. Data included in the HSDA’s Medical Equipment Registry may also be used to determine the need for radiation services in the proposed service area.</w:t>
      </w:r>
    </w:p>
    <w:p w:rsidR="00E61C43" w:rsidRPr="00E61C43" w:rsidRDefault="00E61C43" w:rsidP="00E61C43">
      <w:pPr>
        <w:numPr>
          <w:ilvl w:val="1"/>
          <w:numId w:val="2"/>
        </w:numPr>
        <w:spacing w:after="360" w:line="300" w:lineRule="auto"/>
        <w:contextualSpacing/>
        <w:jc w:val="both"/>
        <w:rPr>
          <w:rFonts w:ascii="Open Sans" w:eastAsia="Calibri" w:hAnsi="Open Sans" w:cs="Open Sans"/>
          <w:bCs/>
          <w:sz w:val="21"/>
          <w:szCs w:val="21"/>
        </w:rPr>
      </w:pPr>
      <w:r w:rsidRPr="00E61C43">
        <w:rPr>
          <w:rFonts w:ascii="Open Sans" w:eastAsia="Calibri" w:hAnsi="Open Sans" w:cs="Open Sans"/>
          <w:bCs/>
          <w:sz w:val="21"/>
          <w:szCs w:val="21"/>
        </w:rPr>
        <w:t>An exception to the standard number of procedures may occur as new or improved technology and equipment or new treatment applications for Linear Accelerators develop. Any applications seeking an exception to the standards and criteria must include information on the projected impact on existing services in the proposed service area. Data reported in the HSDA’s Medical Equipment Registry should also be used to estimate the impact of the proposed project on existing services for the proposed service area.</w:t>
      </w:r>
    </w:p>
    <w:p w:rsidR="00E61C43" w:rsidRPr="00E61C43" w:rsidRDefault="00E61C43" w:rsidP="00E61C43">
      <w:pPr>
        <w:spacing w:after="360" w:line="300" w:lineRule="auto"/>
        <w:ind w:left="1080"/>
        <w:contextualSpacing/>
        <w:jc w:val="both"/>
        <w:rPr>
          <w:rFonts w:ascii="Open Sans" w:eastAsia="Calibri" w:hAnsi="Open Sans" w:cs="Open Sans"/>
          <w:bCs/>
          <w:sz w:val="21"/>
          <w:szCs w:val="21"/>
        </w:rPr>
      </w:pPr>
    </w:p>
    <w:p w:rsidR="00E61C43" w:rsidRPr="00E61C43" w:rsidRDefault="00E61C43" w:rsidP="00E61C43">
      <w:pPr>
        <w:numPr>
          <w:ilvl w:val="0"/>
          <w:numId w:val="2"/>
        </w:numPr>
        <w:spacing w:before="240" w:after="360" w:line="300" w:lineRule="auto"/>
        <w:contextualSpacing/>
        <w:jc w:val="both"/>
        <w:rPr>
          <w:rFonts w:ascii="Open Sans" w:eastAsia="Calibri" w:hAnsi="Open Sans" w:cs="Open Sans"/>
          <w:b/>
          <w:bCs/>
          <w:sz w:val="21"/>
          <w:szCs w:val="21"/>
        </w:rPr>
      </w:pPr>
      <w:r w:rsidRPr="00E61C43">
        <w:rPr>
          <w:rFonts w:ascii="Open Sans" w:eastAsia="Calibri" w:hAnsi="Open Sans" w:cs="Open Sans"/>
          <w:b/>
          <w:bCs/>
          <w:sz w:val="21"/>
          <w:szCs w:val="21"/>
        </w:rPr>
        <w:t xml:space="preserve">Relationship to Existing Similar Services in the Proposed Service Area: </w:t>
      </w:r>
      <w:r w:rsidRPr="00E61C43">
        <w:rPr>
          <w:rFonts w:ascii="Open Sans" w:eastAsia="Calibri" w:hAnsi="Open Sans" w:cs="Open Sans"/>
          <w:bCs/>
          <w:sz w:val="21"/>
          <w:szCs w:val="21"/>
        </w:rPr>
        <w:t xml:space="preserve">Applicants should provide an inventory of and assess all available technologies and utilization in the service area. Additionally, the applicant should provide evidence that volumes in the proposed service area will support the introduction of new MRT services without causing existing providers to fall below the minimum thresholds outlined in the following table. </w:t>
      </w:r>
    </w:p>
    <w:tbl>
      <w:tblPr>
        <w:tblStyle w:val="TableGrid"/>
        <w:tblW w:w="0" w:type="auto"/>
        <w:tblInd w:w="720" w:type="dxa"/>
        <w:tblLook w:val="04A0" w:firstRow="1" w:lastRow="0" w:firstColumn="1" w:lastColumn="0" w:noHBand="0" w:noVBand="1"/>
      </w:tblPr>
      <w:tblGrid>
        <w:gridCol w:w="4324"/>
        <w:gridCol w:w="4306"/>
      </w:tblGrid>
      <w:tr w:rsidR="00E61C43" w:rsidRPr="00E61C43" w:rsidTr="00BD798C">
        <w:tc>
          <w:tcPr>
            <w:tcW w:w="4324" w:type="dxa"/>
          </w:tcPr>
          <w:p w:rsidR="00E61C43" w:rsidRPr="00E61C43" w:rsidRDefault="00E61C43" w:rsidP="00E61C43">
            <w:pPr>
              <w:contextualSpacing/>
              <w:jc w:val="center"/>
              <w:rPr>
                <w:rFonts w:ascii="Open Sans" w:eastAsia="Calibri" w:hAnsi="Open Sans" w:cs="Open Sans"/>
                <w:b/>
                <w:bCs/>
                <w:sz w:val="21"/>
                <w:szCs w:val="21"/>
              </w:rPr>
            </w:pPr>
            <w:r w:rsidRPr="00E61C43">
              <w:rPr>
                <w:rFonts w:ascii="Open Sans" w:eastAsia="Calibri" w:hAnsi="Open Sans" w:cs="Open Sans"/>
                <w:b/>
                <w:bCs/>
                <w:sz w:val="21"/>
                <w:szCs w:val="21"/>
              </w:rPr>
              <w:t>Type of Linear Accelerator</w:t>
            </w:r>
          </w:p>
        </w:tc>
        <w:tc>
          <w:tcPr>
            <w:tcW w:w="4306" w:type="dxa"/>
          </w:tcPr>
          <w:p w:rsidR="00E61C43" w:rsidRPr="00E61C43" w:rsidRDefault="00E61C43" w:rsidP="00E61C43">
            <w:pPr>
              <w:contextualSpacing/>
              <w:jc w:val="center"/>
              <w:rPr>
                <w:rFonts w:ascii="Open Sans" w:eastAsia="Calibri" w:hAnsi="Open Sans" w:cs="Open Sans"/>
                <w:b/>
                <w:bCs/>
                <w:sz w:val="21"/>
                <w:szCs w:val="21"/>
              </w:rPr>
            </w:pPr>
            <w:r w:rsidRPr="00E61C43">
              <w:rPr>
                <w:rFonts w:ascii="Open Sans" w:eastAsia="Calibri" w:hAnsi="Open Sans" w:cs="Open Sans"/>
                <w:b/>
                <w:bCs/>
                <w:sz w:val="21"/>
                <w:szCs w:val="21"/>
              </w:rPr>
              <w:t>Minimum (40)%</w:t>
            </w:r>
          </w:p>
        </w:tc>
      </w:tr>
      <w:tr w:rsidR="00E61C43" w:rsidRPr="00E61C43" w:rsidTr="00BD798C">
        <w:tc>
          <w:tcPr>
            <w:tcW w:w="4324" w:type="dxa"/>
          </w:tcPr>
          <w:p w:rsidR="00E61C43" w:rsidRPr="00E61C43" w:rsidRDefault="00E61C43" w:rsidP="00E61C43">
            <w:pPr>
              <w:contextualSpacing/>
              <w:rPr>
                <w:rFonts w:ascii="Open Sans" w:eastAsia="Calibri" w:hAnsi="Open Sans" w:cs="Open Sans"/>
                <w:bCs/>
                <w:sz w:val="21"/>
                <w:szCs w:val="21"/>
              </w:rPr>
            </w:pPr>
            <w:r w:rsidRPr="00E61C43">
              <w:rPr>
                <w:rFonts w:ascii="Open Sans" w:eastAsia="Calibri" w:hAnsi="Open Sans" w:cs="Open Sans"/>
                <w:bCs/>
                <w:sz w:val="21"/>
                <w:szCs w:val="21"/>
              </w:rPr>
              <w:t>Non-IMRT, Non-IGRT</w:t>
            </w:r>
          </w:p>
        </w:tc>
        <w:tc>
          <w:tcPr>
            <w:tcW w:w="4306" w:type="dxa"/>
          </w:tcPr>
          <w:p w:rsidR="00E61C43" w:rsidRPr="00E61C43" w:rsidRDefault="00E61C43" w:rsidP="00E61C43">
            <w:pPr>
              <w:contextualSpacing/>
              <w:jc w:val="center"/>
              <w:rPr>
                <w:rFonts w:ascii="Open Sans" w:eastAsia="Calibri" w:hAnsi="Open Sans" w:cs="Open Sans"/>
                <w:bCs/>
                <w:sz w:val="21"/>
                <w:szCs w:val="21"/>
              </w:rPr>
            </w:pPr>
            <w:r w:rsidRPr="00E61C43">
              <w:rPr>
                <w:rFonts w:ascii="Open Sans" w:eastAsia="Calibri" w:hAnsi="Open Sans" w:cs="Open Sans"/>
                <w:bCs/>
                <w:sz w:val="21"/>
                <w:szCs w:val="21"/>
              </w:rPr>
              <w:t>3162</w:t>
            </w:r>
          </w:p>
        </w:tc>
      </w:tr>
      <w:tr w:rsidR="00E61C43" w:rsidRPr="00E61C43" w:rsidTr="00BD798C">
        <w:tc>
          <w:tcPr>
            <w:tcW w:w="4324" w:type="dxa"/>
          </w:tcPr>
          <w:p w:rsidR="00E61C43" w:rsidRPr="00E61C43" w:rsidRDefault="00E61C43" w:rsidP="00E61C43">
            <w:pPr>
              <w:contextualSpacing/>
              <w:rPr>
                <w:rFonts w:ascii="Open Sans" w:eastAsia="Calibri" w:hAnsi="Open Sans" w:cs="Open Sans"/>
                <w:bCs/>
                <w:sz w:val="21"/>
                <w:szCs w:val="21"/>
              </w:rPr>
            </w:pPr>
            <w:r w:rsidRPr="00E61C43">
              <w:rPr>
                <w:rFonts w:ascii="Open Sans" w:eastAsia="Calibri" w:hAnsi="Open Sans" w:cs="Open Sans"/>
                <w:bCs/>
                <w:sz w:val="21"/>
                <w:szCs w:val="21"/>
              </w:rPr>
              <w:t>IMRT only</w:t>
            </w:r>
          </w:p>
        </w:tc>
        <w:tc>
          <w:tcPr>
            <w:tcW w:w="4306" w:type="dxa"/>
          </w:tcPr>
          <w:p w:rsidR="00E61C43" w:rsidRPr="00E61C43" w:rsidRDefault="00E61C43" w:rsidP="00E61C43">
            <w:pPr>
              <w:contextualSpacing/>
              <w:jc w:val="center"/>
              <w:rPr>
                <w:rFonts w:ascii="Open Sans" w:eastAsia="Calibri" w:hAnsi="Open Sans" w:cs="Open Sans"/>
                <w:bCs/>
                <w:sz w:val="21"/>
                <w:szCs w:val="21"/>
              </w:rPr>
            </w:pPr>
            <w:r w:rsidRPr="00E61C43">
              <w:rPr>
                <w:rFonts w:ascii="Open Sans" w:eastAsia="Calibri" w:hAnsi="Open Sans" w:cs="Open Sans"/>
                <w:bCs/>
                <w:sz w:val="21"/>
                <w:szCs w:val="21"/>
              </w:rPr>
              <w:t>3162</w:t>
            </w:r>
          </w:p>
        </w:tc>
      </w:tr>
      <w:tr w:rsidR="00E61C43" w:rsidRPr="00E61C43" w:rsidTr="00BD798C">
        <w:tc>
          <w:tcPr>
            <w:tcW w:w="4324" w:type="dxa"/>
          </w:tcPr>
          <w:p w:rsidR="00E61C43" w:rsidRPr="00E61C43" w:rsidRDefault="00E61C43" w:rsidP="00E61C43">
            <w:pPr>
              <w:contextualSpacing/>
              <w:rPr>
                <w:rFonts w:ascii="Open Sans" w:eastAsia="Calibri" w:hAnsi="Open Sans" w:cs="Open Sans"/>
                <w:bCs/>
                <w:sz w:val="21"/>
                <w:szCs w:val="21"/>
              </w:rPr>
            </w:pPr>
            <w:r w:rsidRPr="00E61C43">
              <w:rPr>
                <w:rFonts w:ascii="Open Sans" w:eastAsia="Calibri" w:hAnsi="Open Sans" w:cs="Open Sans"/>
                <w:bCs/>
                <w:sz w:val="21"/>
                <w:szCs w:val="21"/>
              </w:rPr>
              <w:t xml:space="preserve">IMRT with OBI </w:t>
            </w:r>
          </w:p>
        </w:tc>
        <w:tc>
          <w:tcPr>
            <w:tcW w:w="4306" w:type="dxa"/>
          </w:tcPr>
          <w:p w:rsidR="00E61C43" w:rsidRPr="00E61C43" w:rsidRDefault="00E61C43" w:rsidP="00E61C43">
            <w:pPr>
              <w:contextualSpacing/>
              <w:jc w:val="center"/>
              <w:rPr>
                <w:rFonts w:ascii="Open Sans" w:eastAsia="Calibri" w:hAnsi="Open Sans" w:cs="Open Sans"/>
                <w:bCs/>
                <w:sz w:val="21"/>
                <w:szCs w:val="21"/>
              </w:rPr>
            </w:pPr>
            <w:r w:rsidRPr="00E61C43">
              <w:rPr>
                <w:rFonts w:ascii="Open Sans" w:eastAsia="Calibri" w:hAnsi="Open Sans" w:cs="Open Sans"/>
                <w:bCs/>
                <w:sz w:val="21"/>
                <w:szCs w:val="21"/>
              </w:rPr>
              <w:t xml:space="preserve">3754 </w:t>
            </w:r>
          </w:p>
        </w:tc>
      </w:tr>
      <w:tr w:rsidR="00E61C43" w:rsidRPr="00E61C43" w:rsidTr="00BD798C">
        <w:tc>
          <w:tcPr>
            <w:tcW w:w="4324" w:type="dxa"/>
          </w:tcPr>
          <w:p w:rsidR="00E61C43" w:rsidRPr="00E61C43" w:rsidRDefault="00E61C43" w:rsidP="00E61C43">
            <w:pPr>
              <w:contextualSpacing/>
              <w:rPr>
                <w:rFonts w:ascii="Open Sans" w:eastAsia="Calibri" w:hAnsi="Open Sans" w:cs="Open Sans"/>
                <w:bCs/>
                <w:sz w:val="21"/>
                <w:szCs w:val="21"/>
              </w:rPr>
            </w:pPr>
            <w:r w:rsidRPr="00E61C43">
              <w:rPr>
                <w:rFonts w:ascii="Open Sans" w:eastAsia="Calibri" w:hAnsi="Open Sans" w:cs="Open Sans"/>
                <w:bCs/>
                <w:sz w:val="21"/>
                <w:szCs w:val="21"/>
              </w:rPr>
              <w:t>SRS only</w:t>
            </w:r>
          </w:p>
        </w:tc>
        <w:tc>
          <w:tcPr>
            <w:tcW w:w="4306" w:type="dxa"/>
          </w:tcPr>
          <w:p w:rsidR="00E61C43" w:rsidRPr="00E61C43" w:rsidRDefault="00E61C43" w:rsidP="00E61C43">
            <w:pPr>
              <w:contextualSpacing/>
              <w:jc w:val="center"/>
              <w:rPr>
                <w:rFonts w:ascii="Open Sans" w:eastAsia="Calibri" w:hAnsi="Open Sans" w:cs="Open Sans"/>
                <w:bCs/>
                <w:sz w:val="21"/>
                <w:szCs w:val="21"/>
              </w:rPr>
            </w:pPr>
            <w:r w:rsidRPr="00E61C43">
              <w:rPr>
                <w:rFonts w:ascii="Open Sans" w:eastAsia="Calibri" w:hAnsi="Open Sans" w:cs="Open Sans"/>
                <w:bCs/>
                <w:sz w:val="21"/>
                <w:szCs w:val="21"/>
              </w:rPr>
              <w:t>1383</w:t>
            </w:r>
          </w:p>
        </w:tc>
      </w:tr>
      <w:tr w:rsidR="00E61C43" w:rsidRPr="00E61C43" w:rsidTr="00BD798C">
        <w:tc>
          <w:tcPr>
            <w:tcW w:w="4324" w:type="dxa"/>
          </w:tcPr>
          <w:p w:rsidR="00E61C43" w:rsidRPr="00E61C43" w:rsidRDefault="00E61C43" w:rsidP="00E61C43">
            <w:pPr>
              <w:contextualSpacing/>
              <w:rPr>
                <w:rFonts w:ascii="Open Sans" w:eastAsia="Calibri" w:hAnsi="Open Sans" w:cs="Open Sans"/>
                <w:bCs/>
                <w:sz w:val="21"/>
                <w:szCs w:val="21"/>
              </w:rPr>
            </w:pPr>
            <w:r w:rsidRPr="00E61C43">
              <w:rPr>
                <w:rFonts w:ascii="Open Sans" w:eastAsia="Calibri" w:hAnsi="Open Sans" w:cs="Open Sans"/>
                <w:bCs/>
                <w:sz w:val="21"/>
                <w:szCs w:val="21"/>
              </w:rPr>
              <w:t>SBRT only</w:t>
            </w:r>
          </w:p>
        </w:tc>
        <w:tc>
          <w:tcPr>
            <w:tcW w:w="4306" w:type="dxa"/>
          </w:tcPr>
          <w:p w:rsidR="00E61C43" w:rsidRPr="00E61C43" w:rsidRDefault="00E61C43" w:rsidP="00E61C43">
            <w:pPr>
              <w:contextualSpacing/>
              <w:jc w:val="center"/>
              <w:rPr>
                <w:rFonts w:ascii="Open Sans" w:eastAsia="Calibri" w:hAnsi="Open Sans" w:cs="Open Sans"/>
                <w:bCs/>
                <w:sz w:val="21"/>
                <w:szCs w:val="21"/>
              </w:rPr>
            </w:pPr>
            <w:r w:rsidRPr="00E61C43">
              <w:rPr>
                <w:rFonts w:ascii="Open Sans" w:eastAsia="Calibri" w:hAnsi="Open Sans" w:cs="Open Sans"/>
                <w:bCs/>
                <w:sz w:val="21"/>
                <w:szCs w:val="21"/>
              </w:rPr>
              <w:t>1581</w:t>
            </w:r>
          </w:p>
        </w:tc>
      </w:tr>
      <w:tr w:rsidR="00E61C43" w:rsidRPr="00E61C43" w:rsidTr="00BD798C">
        <w:tc>
          <w:tcPr>
            <w:tcW w:w="4324" w:type="dxa"/>
          </w:tcPr>
          <w:p w:rsidR="00E61C43" w:rsidRPr="00E61C43" w:rsidRDefault="00E61C43" w:rsidP="00E61C43">
            <w:pPr>
              <w:contextualSpacing/>
              <w:rPr>
                <w:rFonts w:ascii="Open Sans" w:eastAsia="Calibri" w:hAnsi="Open Sans" w:cs="Open Sans"/>
                <w:bCs/>
                <w:sz w:val="21"/>
                <w:szCs w:val="21"/>
              </w:rPr>
            </w:pPr>
            <w:r w:rsidRPr="00E61C43">
              <w:rPr>
                <w:rFonts w:ascii="Open Sans" w:eastAsia="Calibri" w:hAnsi="Open Sans" w:cs="Open Sans"/>
                <w:bCs/>
                <w:sz w:val="21"/>
                <w:szCs w:val="21"/>
              </w:rPr>
              <w:t>Hybrid MRTs</w:t>
            </w:r>
          </w:p>
        </w:tc>
        <w:tc>
          <w:tcPr>
            <w:tcW w:w="4306" w:type="dxa"/>
          </w:tcPr>
          <w:p w:rsidR="00E61C43" w:rsidRPr="00E61C43" w:rsidRDefault="00E61C43" w:rsidP="00E61C43">
            <w:pPr>
              <w:contextualSpacing/>
              <w:jc w:val="center"/>
              <w:rPr>
                <w:rFonts w:ascii="Open Sans" w:eastAsia="Calibri" w:hAnsi="Open Sans" w:cs="Open Sans"/>
                <w:bCs/>
                <w:sz w:val="21"/>
                <w:szCs w:val="21"/>
              </w:rPr>
            </w:pPr>
            <w:r w:rsidRPr="00E61C43">
              <w:rPr>
                <w:rFonts w:ascii="Open Sans" w:eastAsia="Calibri" w:hAnsi="Open Sans" w:cs="Open Sans"/>
                <w:bCs/>
                <w:sz w:val="21"/>
                <w:szCs w:val="21"/>
              </w:rPr>
              <w:t>3162</w:t>
            </w:r>
          </w:p>
        </w:tc>
      </w:tr>
    </w:tbl>
    <w:p w:rsidR="00E61C43" w:rsidRDefault="00E61C43" w:rsidP="00E61C43">
      <w:pPr>
        <w:spacing w:before="240" w:after="360" w:line="300" w:lineRule="auto"/>
        <w:jc w:val="both"/>
        <w:rPr>
          <w:rFonts w:ascii="Open Sans" w:eastAsia="Calibri" w:hAnsi="Open Sans" w:cs="Open Sans"/>
          <w:b/>
          <w:bCs/>
          <w:sz w:val="21"/>
          <w:szCs w:val="21"/>
        </w:rPr>
      </w:pPr>
    </w:p>
    <w:p w:rsidR="00E61C43" w:rsidRPr="00E61C43" w:rsidRDefault="00E61C43" w:rsidP="00E61C43">
      <w:pPr>
        <w:spacing w:before="240" w:after="360" w:line="300" w:lineRule="auto"/>
        <w:jc w:val="both"/>
        <w:rPr>
          <w:rFonts w:ascii="Open Sans" w:eastAsia="Calibri" w:hAnsi="Open Sans" w:cs="Open Sans"/>
          <w:b/>
          <w:bCs/>
          <w:sz w:val="21"/>
          <w:szCs w:val="21"/>
        </w:rPr>
      </w:pPr>
    </w:p>
    <w:p w:rsidR="00E61C43" w:rsidRPr="00E61C43" w:rsidRDefault="00E61C43" w:rsidP="00E61C43">
      <w:pPr>
        <w:numPr>
          <w:ilvl w:val="1"/>
          <w:numId w:val="2"/>
        </w:numPr>
        <w:spacing w:after="360" w:line="300" w:lineRule="auto"/>
        <w:contextualSpacing/>
        <w:jc w:val="both"/>
        <w:rPr>
          <w:rFonts w:ascii="Open Sans" w:eastAsia="Calibri" w:hAnsi="Open Sans" w:cs="Open Sans"/>
          <w:bCs/>
          <w:sz w:val="21"/>
          <w:szCs w:val="21"/>
        </w:rPr>
      </w:pPr>
      <w:r w:rsidRPr="00E61C43">
        <w:rPr>
          <w:rFonts w:ascii="Open Sans" w:eastAsia="Calibri" w:hAnsi="Open Sans" w:cs="Open Sans"/>
          <w:bCs/>
          <w:sz w:val="21"/>
          <w:szCs w:val="21"/>
        </w:rPr>
        <w:lastRenderedPageBreak/>
        <w:t xml:space="preserve">Applicants should use the treatment codes provided on the HSDA website to calculate utilization. </w:t>
      </w:r>
    </w:p>
    <w:p w:rsidR="00E61C43" w:rsidRPr="00E61C43" w:rsidRDefault="00E61C43" w:rsidP="00E61C43">
      <w:pPr>
        <w:spacing w:after="360" w:line="300" w:lineRule="auto"/>
        <w:ind w:left="1080"/>
        <w:contextualSpacing/>
        <w:jc w:val="both"/>
        <w:rPr>
          <w:rFonts w:ascii="Open Sans" w:eastAsia="Calibri" w:hAnsi="Open Sans" w:cs="Open Sans"/>
          <w:bCs/>
          <w:sz w:val="21"/>
          <w:szCs w:val="21"/>
        </w:rPr>
      </w:pPr>
    </w:p>
    <w:p w:rsidR="00E61C43" w:rsidRPr="00E61C43" w:rsidRDefault="00E61C43" w:rsidP="00E61C43">
      <w:pPr>
        <w:numPr>
          <w:ilvl w:val="1"/>
          <w:numId w:val="2"/>
        </w:numPr>
        <w:spacing w:before="240" w:after="360" w:line="300" w:lineRule="auto"/>
        <w:contextualSpacing/>
        <w:jc w:val="both"/>
        <w:rPr>
          <w:rFonts w:ascii="Open Sans" w:eastAsia="Calibri" w:hAnsi="Open Sans" w:cs="Open Sans"/>
          <w:bCs/>
          <w:sz w:val="21"/>
          <w:szCs w:val="21"/>
        </w:rPr>
      </w:pPr>
      <w:r w:rsidRPr="00E61C43">
        <w:rPr>
          <w:rFonts w:ascii="Open Sans" w:eastAsia="Calibri" w:hAnsi="Open Sans" w:cs="Open Sans"/>
          <w:bCs/>
          <w:sz w:val="21"/>
          <w:szCs w:val="21"/>
        </w:rPr>
        <w:t>Applicants should utilize the data included in the HSDA’s Medical Equipment Registry along with the publicly available Tennessee’s Cancer Registry (</w:t>
      </w:r>
      <w:hyperlink r:id="rId10" w:history="1">
        <w:r w:rsidRPr="00E61C43">
          <w:rPr>
            <w:rFonts w:ascii="Open Sans" w:eastAsia="Calibri" w:hAnsi="Open Sans" w:cs="Open Sans"/>
            <w:bCs/>
            <w:color w:val="131E29"/>
            <w:sz w:val="21"/>
            <w:szCs w:val="21"/>
            <w:u w:val="single"/>
          </w:rPr>
          <w:t>http://tn.gov/health/health-program-areas/tcr.html</w:t>
        </w:r>
      </w:hyperlink>
      <w:r w:rsidRPr="00E61C43">
        <w:rPr>
          <w:rFonts w:ascii="Open Sans" w:eastAsia="Calibri" w:hAnsi="Open Sans" w:cs="Open Sans"/>
          <w:bCs/>
          <w:sz w:val="21"/>
          <w:szCs w:val="21"/>
        </w:rPr>
        <w:t xml:space="preserve">) to estimate the capacity for all existing units located within the applicant’s proposed service area. </w:t>
      </w:r>
    </w:p>
    <w:p w:rsidR="00E61C43" w:rsidRPr="00E61C43" w:rsidRDefault="00E61C43" w:rsidP="00E61C43">
      <w:pPr>
        <w:spacing w:before="240" w:after="360" w:line="300" w:lineRule="auto"/>
        <w:ind w:left="1080"/>
        <w:contextualSpacing/>
        <w:jc w:val="both"/>
        <w:rPr>
          <w:rFonts w:ascii="Open Sans" w:eastAsia="Calibri" w:hAnsi="Open Sans" w:cs="Open Sans"/>
          <w:bCs/>
          <w:sz w:val="21"/>
          <w:szCs w:val="21"/>
        </w:rPr>
      </w:pPr>
    </w:p>
    <w:p w:rsidR="00E61C43" w:rsidRPr="00E61C43" w:rsidRDefault="00E61C43" w:rsidP="00E61C43">
      <w:pPr>
        <w:numPr>
          <w:ilvl w:val="1"/>
          <w:numId w:val="2"/>
        </w:numPr>
        <w:spacing w:before="240" w:after="360" w:line="300" w:lineRule="auto"/>
        <w:contextualSpacing/>
        <w:jc w:val="both"/>
        <w:rPr>
          <w:rFonts w:ascii="Open Sans" w:eastAsia="Calibri" w:hAnsi="Open Sans" w:cs="Open Sans"/>
          <w:bCs/>
          <w:sz w:val="21"/>
          <w:szCs w:val="21"/>
        </w:rPr>
      </w:pPr>
      <w:r w:rsidRPr="00E61C43">
        <w:rPr>
          <w:rFonts w:ascii="Open Sans" w:eastAsia="Calibri" w:hAnsi="Open Sans" w:cs="Open Sans"/>
          <w:bCs/>
          <w:sz w:val="21"/>
          <w:szCs w:val="21"/>
        </w:rPr>
        <w:t>An exception to the need standards may occur as new or improved technology and equipment or new treatment applications for MRT Units develop. An applicant must demonstrate that the proposed MRT Unit offers a unique and necessary technology for the provision of health care services in the proposed service area.</w:t>
      </w:r>
    </w:p>
    <w:p w:rsidR="00E61C43" w:rsidRPr="00E61C43" w:rsidRDefault="00E61C43" w:rsidP="00E61C43">
      <w:pPr>
        <w:spacing w:before="240" w:after="360" w:line="300" w:lineRule="auto"/>
        <w:ind w:left="1080"/>
        <w:contextualSpacing/>
        <w:jc w:val="both"/>
        <w:rPr>
          <w:rFonts w:ascii="Open Sans" w:eastAsia="Calibri" w:hAnsi="Open Sans" w:cs="Open Sans"/>
          <w:bCs/>
          <w:sz w:val="21"/>
          <w:szCs w:val="21"/>
        </w:rPr>
      </w:pPr>
    </w:p>
    <w:p w:rsidR="00E61C43" w:rsidRPr="00E61C43" w:rsidRDefault="00E61C43" w:rsidP="00E61C43">
      <w:pPr>
        <w:numPr>
          <w:ilvl w:val="0"/>
          <w:numId w:val="2"/>
        </w:numPr>
        <w:spacing w:before="240" w:after="360" w:line="300" w:lineRule="auto"/>
        <w:contextualSpacing/>
        <w:jc w:val="both"/>
        <w:rPr>
          <w:rFonts w:ascii="Open Sans" w:eastAsia="Calibri" w:hAnsi="Open Sans" w:cs="Open Sans"/>
          <w:bCs/>
          <w:sz w:val="21"/>
          <w:szCs w:val="21"/>
        </w:rPr>
      </w:pPr>
      <w:r w:rsidRPr="00E61C43">
        <w:rPr>
          <w:rFonts w:ascii="Open Sans" w:eastAsia="Calibri" w:hAnsi="Open Sans" w:cs="Open Sans"/>
          <w:b/>
          <w:bCs/>
          <w:sz w:val="21"/>
          <w:szCs w:val="21"/>
        </w:rPr>
        <w:t>Establishment of Service Area:</w:t>
      </w:r>
      <w:r w:rsidRPr="00E61C43">
        <w:rPr>
          <w:rFonts w:ascii="Open Sans" w:eastAsia="Calibri" w:hAnsi="Open Sans" w:cs="Open Sans"/>
          <w:bCs/>
          <w:sz w:val="21"/>
          <w:szCs w:val="21"/>
        </w:rPr>
        <w:t xml:space="preserve"> For linear accelerators that do not perform SRT or SBRT procedures, the contiguous counties representing a reasonable area in which an applicant intends to provide MRT services.</w:t>
      </w:r>
      <w:r w:rsidRPr="00E61C43">
        <w:rPr>
          <w:rFonts w:ascii="Open Sans" w:eastAsia="Calibri" w:hAnsi="Open Sans" w:cs="Open Sans"/>
          <w:bCs/>
          <w:strike/>
          <w:sz w:val="21"/>
          <w:szCs w:val="21"/>
          <w:highlight w:val="yellow"/>
        </w:rPr>
        <w:t xml:space="preserve"> </w:t>
      </w:r>
    </w:p>
    <w:p w:rsidR="00E61C43" w:rsidRPr="00E61C43" w:rsidRDefault="00E61C43" w:rsidP="00E61C43">
      <w:pPr>
        <w:spacing w:before="240" w:after="360" w:line="300" w:lineRule="auto"/>
        <w:ind w:left="360"/>
        <w:contextualSpacing/>
        <w:jc w:val="both"/>
        <w:rPr>
          <w:rFonts w:ascii="Open Sans" w:eastAsia="Calibri" w:hAnsi="Open Sans" w:cs="Open Sans"/>
          <w:bCs/>
          <w:sz w:val="21"/>
          <w:szCs w:val="21"/>
        </w:rPr>
      </w:pPr>
    </w:p>
    <w:p w:rsidR="00E61C43" w:rsidRPr="00E61C43" w:rsidRDefault="00E61C43" w:rsidP="00E61C43">
      <w:pPr>
        <w:spacing w:before="240" w:after="360" w:line="300" w:lineRule="auto"/>
        <w:ind w:left="360"/>
        <w:contextualSpacing/>
        <w:jc w:val="both"/>
        <w:rPr>
          <w:rFonts w:ascii="Open Sans" w:eastAsia="Calibri" w:hAnsi="Open Sans" w:cs="Open Sans"/>
          <w:bCs/>
          <w:sz w:val="21"/>
          <w:szCs w:val="21"/>
        </w:rPr>
      </w:pPr>
      <w:r w:rsidRPr="00E61C43">
        <w:rPr>
          <w:rFonts w:ascii="Open Sans" w:eastAsia="Calibri" w:hAnsi="Open Sans" w:cs="Open Sans"/>
          <w:bCs/>
          <w:sz w:val="21"/>
          <w:szCs w:val="21"/>
        </w:rPr>
        <w:t xml:space="preserve">Applicants should utilize the publicly available Tennessee’s Cancer Registry (https://www.tn.gov/health/health-program-areas/tcr.html) data to estimate the need within the proposed service area.  These data should then be compared to the data included in the HSDA’s Medical Equipment Registry for the defined market to determine the need. </w:t>
      </w:r>
    </w:p>
    <w:p w:rsidR="00E61C43" w:rsidRPr="00E61C43" w:rsidRDefault="00E61C43" w:rsidP="00E61C43">
      <w:pPr>
        <w:spacing w:before="240" w:after="360" w:line="300" w:lineRule="auto"/>
        <w:ind w:left="360"/>
        <w:contextualSpacing/>
        <w:jc w:val="both"/>
        <w:rPr>
          <w:rFonts w:ascii="Open Sans" w:eastAsia="Calibri" w:hAnsi="Open Sans" w:cs="Open Sans"/>
          <w:bCs/>
          <w:sz w:val="21"/>
          <w:szCs w:val="21"/>
        </w:rPr>
      </w:pPr>
    </w:p>
    <w:p w:rsidR="00E61C43" w:rsidRPr="00E61C43" w:rsidRDefault="00E61C43" w:rsidP="00E61C43">
      <w:pPr>
        <w:spacing w:before="240" w:after="360" w:line="300" w:lineRule="auto"/>
        <w:ind w:left="360"/>
        <w:contextualSpacing/>
        <w:jc w:val="both"/>
        <w:rPr>
          <w:rFonts w:ascii="Open Sans" w:eastAsia="Calibri" w:hAnsi="Open Sans" w:cs="Open Sans"/>
          <w:bCs/>
          <w:sz w:val="21"/>
          <w:szCs w:val="21"/>
        </w:rPr>
      </w:pPr>
      <w:r w:rsidRPr="00E61C43">
        <w:rPr>
          <w:rFonts w:ascii="Open Sans" w:eastAsia="Calibri" w:hAnsi="Open Sans" w:cs="Open Sans"/>
          <w:bCs/>
          <w:sz w:val="21"/>
          <w:szCs w:val="21"/>
        </w:rPr>
        <w:t xml:space="preserve">To estimate the number of radiation treatment patients in its proposed service area, the applicant should multiply the number of cancer patients by 60%. A minimum of 600 cancer patients and 360 radiation patients should reside in the proposed service area. Data included in the HSDA’s Medical Equipment Registry may also be used to determine the need for radiation services in the proposed service area. </w:t>
      </w:r>
    </w:p>
    <w:p w:rsidR="00E61C43" w:rsidRPr="00E61C43" w:rsidRDefault="00E61C43" w:rsidP="00E61C43">
      <w:pPr>
        <w:spacing w:before="240" w:after="360" w:line="300" w:lineRule="auto"/>
        <w:ind w:left="360"/>
        <w:contextualSpacing/>
        <w:jc w:val="both"/>
        <w:rPr>
          <w:rFonts w:ascii="Open Sans" w:eastAsia="Calibri" w:hAnsi="Open Sans" w:cs="Open Sans"/>
          <w:b/>
          <w:bCs/>
          <w:sz w:val="21"/>
          <w:szCs w:val="21"/>
        </w:rPr>
      </w:pPr>
    </w:p>
    <w:p w:rsidR="00E61C43" w:rsidRPr="00E61C43" w:rsidRDefault="00E61C43" w:rsidP="00E61C43">
      <w:pPr>
        <w:spacing w:before="240" w:after="360" w:line="300" w:lineRule="auto"/>
        <w:ind w:left="360"/>
        <w:contextualSpacing/>
        <w:jc w:val="both"/>
        <w:rPr>
          <w:rFonts w:ascii="Open Sans" w:eastAsia="Calibri" w:hAnsi="Open Sans" w:cs="Open Sans"/>
          <w:bCs/>
          <w:sz w:val="21"/>
          <w:szCs w:val="21"/>
        </w:rPr>
      </w:pPr>
      <w:r w:rsidRPr="00E61C43">
        <w:rPr>
          <w:rFonts w:ascii="Open Sans" w:eastAsia="Calibri" w:hAnsi="Open Sans" w:cs="Open Sans"/>
          <w:bCs/>
          <w:sz w:val="21"/>
          <w:szCs w:val="21"/>
        </w:rPr>
        <w:t xml:space="preserve">Otherwise, a service area shall be the contiguous counties representing a reasonable area in which an applicant intends to provide MRT services. </w:t>
      </w:r>
    </w:p>
    <w:p w:rsidR="00E61C43" w:rsidRPr="00E61C43" w:rsidRDefault="00E61C43" w:rsidP="00E61C43">
      <w:pPr>
        <w:spacing w:before="240" w:after="360" w:line="300" w:lineRule="auto"/>
        <w:ind w:left="360"/>
        <w:contextualSpacing/>
        <w:jc w:val="both"/>
        <w:rPr>
          <w:rFonts w:ascii="Open Sans" w:eastAsia="Calibri" w:hAnsi="Open Sans" w:cs="Open Sans"/>
          <w:bCs/>
          <w:sz w:val="21"/>
          <w:szCs w:val="21"/>
        </w:rPr>
      </w:pPr>
    </w:p>
    <w:p w:rsidR="00E61C43" w:rsidRPr="00E61C43" w:rsidRDefault="00E61C43" w:rsidP="00E61C43">
      <w:pPr>
        <w:spacing w:before="240" w:after="360" w:line="300" w:lineRule="auto"/>
        <w:ind w:left="360"/>
        <w:contextualSpacing/>
        <w:jc w:val="both"/>
        <w:rPr>
          <w:rFonts w:ascii="Open Sans" w:eastAsia="Calibri" w:hAnsi="Open Sans" w:cs="Open Sans"/>
          <w:bCs/>
          <w:sz w:val="21"/>
          <w:szCs w:val="21"/>
        </w:rPr>
      </w:pPr>
      <w:r w:rsidRPr="00E61C43">
        <w:rPr>
          <w:rFonts w:ascii="Open Sans" w:eastAsia="Calibri" w:hAnsi="Open Sans" w:cs="Open Sans"/>
          <w:bCs/>
          <w:sz w:val="21"/>
          <w:szCs w:val="21"/>
        </w:rPr>
        <w:t xml:space="preserve">Additionally, the applicant must demonstrate that the patient origin of the proposed site aligns with other existing cancer-related healthcare services provided within the defined service. </w:t>
      </w:r>
    </w:p>
    <w:p w:rsidR="00E61C43" w:rsidRPr="00E61C43" w:rsidRDefault="00E61C43" w:rsidP="00E61C43">
      <w:pPr>
        <w:spacing w:before="240" w:after="360" w:line="300" w:lineRule="auto"/>
        <w:jc w:val="both"/>
        <w:rPr>
          <w:rFonts w:ascii="Open Sans" w:eastAsia="Calibri" w:hAnsi="Open Sans" w:cs="Open Sans"/>
          <w:bCs/>
          <w:sz w:val="21"/>
          <w:szCs w:val="21"/>
        </w:rPr>
      </w:pPr>
    </w:p>
    <w:p w:rsidR="00E61C43" w:rsidRPr="00E61C43" w:rsidRDefault="00E61C43" w:rsidP="00E61C43">
      <w:pPr>
        <w:numPr>
          <w:ilvl w:val="0"/>
          <w:numId w:val="2"/>
        </w:numPr>
        <w:spacing w:before="240" w:after="360" w:line="300" w:lineRule="auto"/>
        <w:contextualSpacing/>
        <w:jc w:val="both"/>
        <w:rPr>
          <w:rFonts w:ascii="Open Sans" w:eastAsia="Calibri" w:hAnsi="Open Sans" w:cs="Open Sans"/>
          <w:bCs/>
          <w:sz w:val="21"/>
          <w:szCs w:val="21"/>
        </w:rPr>
      </w:pPr>
      <w:r w:rsidRPr="00E61C43">
        <w:rPr>
          <w:rFonts w:ascii="Open Sans" w:eastAsia="Calibri" w:hAnsi="Open Sans" w:cs="Open Sans"/>
          <w:b/>
        </w:rPr>
        <w:lastRenderedPageBreak/>
        <w:t xml:space="preserve"> </w:t>
      </w:r>
      <w:r w:rsidRPr="00E61C43">
        <w:rPr>
          <w:rFonts w:ascii="Open Sans" w:eastAsia="Calibri" w:hAnsi="Open Sans" w:cs="Open Sans"/>
          <w:b/>
          <w:bCs/>
          <w:sz w:val="21"/>
          <w:szCs w:val="21"/>
        </w:rPr>
        <w:t>Access to MRT Units</w:t>
      </w:r>
    </w:p>
    <w:p w:rsidR="00E61C43" w:rsidRPr="00E61C43" w:rsidRDefault="00E61C43" w:rsidP="00E61C43">
      <w:pPr>
        <w:numPr>
          <w:ilvl w:val="1"/>
          <w:numId w:val="2"/>
        </w:numPr>
        <w:spacing w:before="240" w:after="360" w:line="300" w:lineRule="auto"/>
        <w:contextualSpacing/>
        <w:jc w:val="both"/>
        <w:rPr>
          <w:rFonts w:ascii="Open Sans" w:eastAsia="Calibri" w:hAnsi="Open Sans" w:cs="Open Sans"/>
          <w:bCs/>
          <w:sz w:val="21"/>
          <w:szCs w:val="21"/>
        </w:rPr>
      </w:pPr>
      <w:r w:rsidRPr="00E61C43">
        <w:rPr>
          <w:rFonts w:ascii="Open Sans" w:eastAsia="Calibri" w:hAnsi="Open Sans" w:cs="Open Sans"/>
          <w:bCs/>
          <w:sz w:val="21"/>
          <w:szCs w:val="21"/>
        </w:rPr>
        <w:t>An MRT unit should be located at a site that allows reasonable access for residents of the proposed service area.</w:t>
      </w:r>
    </w:p>
    <w:p w:rsidR="00E61C43" w:rsidRPr="00E61C43" w:rsidRDefault="00E61C43" w:rsidP="00E61C43">
      <w:pPr>
        <w:spacing w:before="240" w:after="360" w:line="300" w:lineRule="auto"/>
        <w:ind w:left="1080"/>
        <w:contextualSpacing/>
        <w:jc w:val="both"/>
        <w:rPr>
          <w:rFonts w:ascii="Open Sans" w:eastAsia="Calibri" w:hAnsi="Open Sans" w:cs="Open Sans"/>
          <w:bCs/>
          <w:sz w:val="21"/>
          <w:szCs w:val="21"/>
        </w:rPr>
      </w:pPr>
    </w:p>
    <w:p w:rsidR="00E61C43" w:rsidRPr="00E61C43" w:rsidRDefault="00E61C43" w:rsidP="00E61C43">
      <w:pPr>
        <w:numPr>
          <w:ilvl w:val="1"/>
          <w:numId w:val="2"/>
        </w:numPr>
        <w:spacing w:before="240" w:after="360" w:line="300" w:lineRule="auto"/>
        <w:contextualSpacing/>
        <w:jc w:val="both"/>
        <w:rPr>
          <w:rFonts w:ascii="Open Sans" w:eastAsia="Calibri" w:hAnsi="Open Sans" w:cs="Open Sans"/>
          <w:bCs/>
          <w:sz w:val="21"/>
          <w:szCs w:val="21"/>
        </w:rPr>
      </w:pPr>
      <w:r w:rsidRPr="00E61C43">
        <w:rPr>
          <w:rFonts w:ascii="Open Sans" w:eastAsia="Calibri" w:hAnsi="Open Sans" w:cs="Open Sans"/>
          <w:bCs/>
          <w:sz w:val="21"/>
          <w:szCs w:val="21"/>
        </w:rPr>
        <w:t>An applicant for any proposed new Linear Accelerator should document that the proposed location of the Linear Accelerator is within a 45 minute drive time of the majority of the proposed service area’s population.</w:t>
      </w:r>
    </w:p>
    <w:p w:rsidR="00E61C43" w:rsidRPr="00E61C43" w:rsidRDefault="00E61C43" w:rsidP="00E61C43">
      <w:pPr>
        <w:spacing w:before="240" w:after="360" w:line="300" w:lineRule="auto"/>
        <w:ind w:left="1080"/>
        <w:contextualSpacing/>
        <w:jc w:val="both"/>
        <w:rPr>
          <w:rFonts w:ascii="Open Sans" w:eastAsia="Calibri" w:hAnsi="Open Sans" w:cs="Open Sans"/>
          <w:bCs/>
          <w:sz w:val="21"/>
          <w:szCs w:val="21"/>
        </w:rPr>
      </w:pPr>
    </w:p>
    <w:p w:rsidR="00E61C43" w:rsidRPr="00E61C43" w:rsidRDefault="00E61C43" w:rsidP="00E61C43">
      <w:pPr>
        <w:numPr>
          <w:ilvl w:val="1"/>
          <w:numId w:val="2"/>
        </w:numPr>
        <w:spacing w:before="240" w:after="360" w:line="300" w:lineRule="auto"/>
        <w:contextualSpacing/>
        <w:jc w:val="both"/>
        <w:rPr>
          <w:rFonts w:ascii="Open Sans" w:eastAsia="Calibri" w:hAnsi="Open Sans" w:cs="Open Sans"/>
          <w:bCs/>
          <w:sz w:val="21"/>
          <w:szCs w:val="21"/>
        </w:rPr>
      </w:pPr>
      <w:r w:rsidRPr="00E61C43">
        <w:rPr>
          <w:rFonts w:ascii="Open Sans" w:eastAsia="Calibri" w:hAnsi="Open Sans" w:cs="Open Sans"/>
          <w:bCs/>
          <w:sz w:val="21"/>
          <w:szCs w:val="21"/>
        </w:rPr>
        <w:t>Applications that include non-Tennessee counties in their proposed service areas should provide evidence of the number of existing MRT units that service the non-Tennessee counties and the impact on MRT unit utilization in the non-Tennessee counties, including the specific location of those units located in the non-Tennessee counties, their utilization rates, and their capacity (if those data are available).</w:t>
      </w:r>
    </w:p>
    <w:p w:rsidR="00E61C43" w:rsidRPr="00E61C43" w:rsidRDefault="00E61C43" w:rsidP="00E61C43">
      <w:pPr>
        <w:spacing w:before="240" w:after="360" w:line="300" w:lineRule="auto"/>
        <w:ind w:left="1080"/>
        <w:contextualSpacing/>
        <w:jc w:val="both"/>
        <w:rPr>
          <w:rFonts w:ascii="Open Sans" w:eastAsia="Calibri" w:hAnsi="Open Sans" w:cs="Open Sans"/>
          <w:bCs/>
          <w:sz w:val="21"/>
          <w:szCs w:val="21"/>
        </w:rPr>
      </w:pPr>
    </w:p>
    <w:p w:rsidR="00E61C43" w:rsidRPr="00E61C43" w:rsidRDefault="00E61C43" w:rsidP="00E61C43">
      <w:pPr>
        <w:numPr>
          <w:ilvl w:val="0"/>
          <w:numId w:val="2"/>
        </w:numPr>
        <w:spacing w:before="240" w:after="360" w:line="300" w:lineRule="auto"/>
        <w:contextualSpacing/>
        <w:jc w:val="both"/>
        <w:rPr>
          <w:rFonts w:ascii="Open Sans" w:eastAsia="Calibri" w:hAnsi="Open Sans" w:cs="Open Sans"/>
          <w:bCs/>
          <w:sz w:val="21"/>
          <w:szCs w:val="21"/>
        </w:rPr>
      </w:pPr>
      <w:r w:rsidRPr="00E61C43">
        <w:rPr>
          <w:rFonts w:ascii="Open Sans" w:eastAsia="Calibri" w:hAnsi="Open Sans" w:cs="Open Sans"/>
          <w:b/>
        </w:rPr>
        <w:t>E</w:t>
      </w:r>
      <w:r w:rsidRPr="00E61C43">
        <w:rPr>
          <w:rFonts w:ascii="Open Sans" w:eastAsia="Calibri" w:hAnsi="Open Sans" w:cs="Open Sans"/>
          <w:b/>
          <w:bCs/>
          <w:sz w:val="21"/>
          <w:szCs w:val="21"/>
        </w:rPr>
        <w:t>conomic Efficiencies:</w:t>
      </w:r>
      <w:r w:rsidRPr="00E61C43">
        <w:rPr>
          <w:rFonts w:ascii="Open Sans" w:eastAsia="Calibri" w:hAnsi="Open Sans" w:cs="Open Sans"/>
          <w:bCs/>
          <w:sz w:val="21"/>
          <w:szCs w:val="21"/>
        </w:rPr>
        <w:t xml:space="preserve"> All applicants for any proposed new MRT Unit should document that lower cost technology applications have been investigated and found less advantageous in terms of accessibility, availability, continuity, cost, and quality of care.</w:t>
      </w:r>
    </w:p>
    <w:p w:rsidR="00E61C43" w:rsidRPr="00E61C43" w:rsidRDefault="00E61C43" w:rsidP="00E61C43">
      <w:pPr>
        <w:spacing w:before="240" w:after="360" w:line="300" w:lineRule="auto"/>
        <w:ind w:left="360"/>
        <w:contextualSpacing/>
        <w:jc w:val="both"/>
        <w:rPr>
          <w:rFonts w:ascii="Open Sans" w:eastAsia="Calibri" w:hAnsi="Open Sans" w:cs="Open Sans"/>
          <w:bCs/>
          <w:sz w:val="21"/>
          <w:szCs w:val="21"/>
        </w:rPr>
      </w:pPr>
    </w:p>
    <w:p w:rsidR="00E61C43" w:rsidRPr="00E61C43" w:rsidRDefault="00E61C43" w:rsidP="00E61C43">
      <w:pPr>
        <w:numPr>
          <w:ilvl w:val="0"/>
          <w:numId w:val="2"/>
        </w:numPr>
        <w:spacing w:before="240" w:after="360" w:line="300" w:lineRule="auto"/>
        <w:contextualSpacing/>
        <w:jc w:val="both"/>
        <w:rPr>
          <w:rFonts w:ascii="Open Sans" w:eastAsia="Calibri" w:hAnsi="Open Sans" w:cs="Open Sans"/>
          <w:bCs/>
          <w:sz w:val="21"/>
          <w:szCs w:val="21"/>
        </w:rPr>
      </w:pPr>
      <w:r w:rsidRPr="00E61C43">
        <w:rPr>
          <w:rFonts w:ascii="Open Sans" w:eastAsia="Calibri" w:hAnsi="Open Sans" w:cs="Open Sans"/>
          <w:b/>
          <w:bCs/>
          <w:sz w:val="21"/>
          <w:szCs w:val="21"/>
        </w:rPr>
        <w:t>Separate Inventories for Linear Accelerators and for other MRT Units:</w:t>
      </w:r>
      <w:r w:rsidRPr="00E61C43">
        <w:rPr>
          <w:rFonts w:ascii="Open Sans" w:eastAsia="Calibri" w:hAnsi="Open Sans" w:cs="Open Sans"/>
          <w:bCs/>
          <w:sz w:val="21"/>
          <w:szCs w:val="21"/>
        </w:rPr>
        <w:t xml:space="preserve"> A separate inventory shall be maintained by the HSDA for Linear Accelerators, and, if data are available, for Linear Accelerators dedicated to SRT and/or SBRT procedures and other types of MRT Units.</w:t>
      </w:r>
    </w:p>
    <w:p w:rsidR="00E61C43" w:rsidRPr="00E61C43" w:rsidRDefault="00E61C43" w:rsidP="00E61C43">
      <w:pPr>
        <w:spacing w:before="240" w:after="360" w:line="300" w:lineRule="auto"/>
        <w:ind w:left="360"/>
        <w:contextualSpacing/>
        <w:jc w:val="both"/>
        <w:rPr>
          <w:rFonts w:ascii="Open Sans" w:eastAsia="Calibri" w:hAnsi="Open Sans" w:cs="Open Sans"/>
          <w:bCs/>
          <w:sz w:val="21"/>
          <w:szCs w:val="21"/>
        </w:rPr>
      </w:pPr>
    </w:p>
    <w:p w:rsidR="00E61C43" w:rsidRPr="00E61C43" w:rsidRDefault="00E61C43" w:rsidP="00E61C43">
      <w:pPr>
        <w:numPr>
          <w:ilvl w:val="0"/>
          <w:numId w:val="2"/>
        </w:numPr>
        <w:spacing w:before="240" w:after="360" w:line="300" w:lineRule="auto"/>
        <w:contextualSpacing/>
        <w:jc w:val="both"/>
        <w:rPr>
          <w:rFonts w:ascii="Open Sans" w:eastAsia="Calibri" w:hAnsi="Open Sans" w:cs="Open Sans"/>
          <w:bCs/>
          <w:sz w:val="21"/>
          <w:szCs w:val="21"/>
        </w:rPr>
      </w:pPr>
      <w:r w:rsidRPr="00E61C43">
        <w:rPr>
          <w:rFonts w:ascii="Open Sans" w:eastAsia="Calibri" w:hAnsi="Open Sans" w:cs="Open Sans"/>
          <w:b/>
          <w:bCs/>
          <w:sz w:val="21"/>
          <w:szCs w:val="21"/>
        </w:rPr>
        <w:t>Patient Safety and Quality of Care:</w:t>
      </w:r>
      <w:r w:rsidRPr="00E61C43">
        <w:rPr>
          <w:rFonts w:ascii="Open Sans" w:eastAsia="Calibri" w:hAnsi="Open Sans" w:cs="Open Sans"/>
          <w:bCs/>
          <w:sz w:val="21"/>
          <w:szCs w:val="21"/>
        </w:rPr>
        <w:t xml:space="preserve"> The applicant shall provide evidence that any proposed MRT Unit is safe and effective for its proposed use.</w:t>
      </w:r>
    </w:p>
    <w:p w:rsidR="00E61C43" w:rsidRPr="00E61C43" w:rsidRDefault="00E61C43" w:rsidP="00E61C43">
      <w:pPr>
        <w:spacing w:before="240" w:after="360" w:line="300" w:lineRule="auto"/>
        <w:ind w:left="360"/>
        <w:contextualSpacing/>
        <w:jc w:val="both"/>
        <w:rPr>
          <w:rFonts w:ascii="Open Sans" w:eastAsia="Calibri" w:hAnsi="Open Sans" w:cs="Open Sans"/>
          <w:bCs/>
          <w:sz w:val="21"/>
          <w:szCs w:val="21"/>
        </w:rPr>
      </w:pPr>
    </w:p>
    <w:p w:rsidR="00E61C43" w:rsidRPr="00E61C43" w:rsidRDefault="00E61C43" w:rsidP="00E61C43">
      <w:pPr>
        <w:numPr>
          <w:ilvl w:val="1"/>
          <w:numId w:val="2"/>
        </w:numPr>
        <w:spacing w:before="240" w:after="360" w:line="300" w:lineRule="auto"/>
        <w:contextualSpacing/>
        <w:jc w:val="both"/>
        <w:rPr>
          <w:rFonts w:ascii="Open Sans" w:eastAsia="Calibri" w:hAnsi="Open Sans" w:cs="Open Sans"/>
          <w:bCs/>
          <w:sz w:val="21"/>
          <w:szCs w:val="21"/>
        </w:rPr>
      </w:pPr>
      <w:r w:rsidRPr="00E61C43">
        <w:rPr>
          <w:rFonts w:ascii="Open Sans" w:eastAsia="Calibri" w:hAnsi="Open Sans" w:cs="Open Sans"/>
          <w:bCs/>
          <w:sz w:val="21"/>
          <w:szCs w:val="21"/>
        </w:rPr>
        <w:t>The United States Food and Drug Administration (FDA) must certify the proposed MRT Unit for clinical use.</w:t>
      </w:r>
    </w:p>
    <w:p w:rsidR="00E61C43" w:rsidRPr="00E61C43" w:rsidRDefault="00E61C43" w:rsidP="00E61C43">
      <w:pPr>
        <w:spacing w:before="240" w:after="360" w:line="300" w:lineRule="auto"/>
        <w:ind w:left="1080"/>
        <w:contextualSpacing/>
        <w:jc w:val="both"/>
        <w:rPr>
          <w:rFonts w:ascii="Open Sans" w:eastAsia="Calibri" w:hAnsi="Open Sans" w:cs="Open Sans"/>
          <w:bCs/>
          <w:sz w:val="21"/>
          <w:szCs w:val="21"/>
        </w:rPr>
      </w:pPr>
    </w:p>
    <w:p w:rsidR="00E61C43" w:rsidRPr="00E61C43" w:rsidRDefault="00E61C43" w:rsidP="00E61C43">
      <w:pPr>
        <w:numPr>
          <w:ilvl w:val="1"/>
          <w:numId w:val="2"/>
        </w:numPr>
        <w:spacing w:before="240" w:after="360" w:line="300" w:lineRule="auto"/>
        <w:contextualSpacing/>
        <w:jc w:val="both"/>
        <w:rPr>
          <w:rFonts w:ascii="Open Sans" w:eastAsia="Calibri" w:hAnsi="Open Sans" w:cs="Open Sans"/>
          <w:bCs/>
          <w:sz w:val="21"/>
          <w:szCs w:val="21"/>
        </w:rPr>
      </w:pPr>
      <w:r w:rsidRPr="00E61C43">
        <w:rPr>
          <w:rFonts w:ascii="Open Sans" w:eastAsia="Calibri" w:hAnsi="Open Sans" w:cs="Open Sans"/>
          <w:bCs/>
          <w:sz w:val="21"/>
          <w:szCs w:val="21"/>
        </w:rPr>
        <w:t>The applicant should demonstrate that the proposed MRT Units shall be housed in a physical environment that conforms to applicable federal standards, manufacturer’s specifications, and licensing agencies’ requirements.</w:t>
      </w:r>
    </w:p>
    <w:p w:rsidR="00E61C43" w:rsidRPr="00E61C43" w:rsidRDefault="00E61C43" w:rsidP="00E61C43">
      <w:pPr>
        <w:spacing w:before="240" w:after="360" w:line="300" w:lineRule="auto"/>
        <w:ind w:left="1080"/>
        <w:contextualSpacing/>
        <w:jc w:val="both"/>
        <w:rPr>
          <w:rFonts w:ascii="Open Sans" w:eastAsia="Calibri" w:hAnsi="Open Sans" w:cs="Open Sans"/>
          <w:bCs/>
          <w:sz w:val="21"/>
          <w:szCs w:val="21"/>
        </w:rPr>
      </w:pPr>
    </w:p>
    <w:p w:rsidR="00E61C43" w:rsidRPr="00E61C43" w:rsidRDefault="00E61C43" w:rsidP="00E61C43">
      <w:pPr>
        <w:numPr>
          <w:ilvl w:val="1"/>
          <w:numId w:val="2"/>
        </w:numPr>
        <w:spacing w:before="240" w:after="360" w:line="300" w:lineRule="auto"/>
        <w:contextualSpacing/>
        <w:jc w:val="both"/>
        <w:rPr>
          <w:rFonts w:ascii="Open Sans" w:eastAsia="Calibri" w:hAnsi="Open Sans" w:cs="Open Sans"/>
          <w:bCs/>
          <w:sz w:val="21"/>
          <w:szCs w:val="21"/>
        </w:rPr>
      </w:pPr>
      <w:r w:rsidRPr="00E61C43">
        <w:rPr>
          <w:rFonts w:ascii="Open Sans" w:eastAsia="Calibri" w:hAnsi="Open Sans" w:cs="Open Sans"/>
          <w:bCs/>
          <w:sz w:val="21"/>
          <w:szCs w:val="21"/>
        </w:rPr>
        <w:t>The applicant should demonstrate how emergencies within the MRT Unit facility will be managed in conformity with accepted medical practice.</w:t>
      </w:r>
    </w:p>
    <w:p w:rsidR="00E61C43" w:rsidRPr="00E61C43" w:rsidRDefault="00E61C43" w:rsidP="00E61C43">
      <w:pPr>
        <w:spacing w:before="240" w:after="360" w:line="300" w:lineRule="auto"/>
        <w:ind w:left="1080"/>
        <w:contextualSpacing/>
        <w:jc w:val="both"/>
        <w:rPr>
          <w:rFonts w:ascii="Open Sans" w:eastAsia="Calibri" w:hAnsi="Open Sans" w:cs="Open Sans"/>
          <w:bCs/>
          <w:sz w:val="21"/>
          <w:szCs w:val="21"/>
        </w:rPr>
      </w:pPr>
    </w:p>
    <w:p w:rsidR="00E61C43" w:rsidRPr="00E61C43" w:rsidRDefault="00E61C43" w:rsidP="00E61C43">
      <w:pPr>
        <w:numPr>
          <w:ilvl w:val="1"/>
          <w:numId w:val="2"/>
        </w:numPr>
        <w:spacing w:before="240" w:after="360" w:line="300" w:lineRule="auto"/>
        <w:contextualSpacing/>
        <w:jc w:val="both"/>
        <w:rPr>
          <w:rFonts w:ascii="Open Sans" w:eastAsia="Calibri" w:hAnsi="Open Sans" w:cs="Open Sans"/>
          <w:bCs/>
          <w:sz w:val="21"/>
          <w:szCs w:val="21"/>
        </w:rPr>
      </w:pPr>
      <w:r w:rsidRPr="00E61C43">
        <w:rPr>
          <w:rFonts w:ascii="Open Sans" w:eastAsia="Calibri" w:hAnsi="Open Sans" w:cs="Open Sans"/>
          <w:bCs/>
          <w:sz w:val="21"/>
          <w:szCs w:val="21"/>
        </w:rPr>
        <w:lastRenderedPageBreak/>
        <w:t>The applicant should establish protocols that assure that all MRT Procedures performed are medically necessary and will not unnecessarily duplicate other services.</w:t>
      </w:r>
    </w:p>
    <w:p w:rsidR="00E61C43" w:rsidRPr="00E61C43" w:rsidRDefault="00E61C43" w:rsidP="00E61C43">
      <w:pPr>
        <w:spacing w:before="240" w:after="360" w:line="300" w:lineRule="auto"/>
        <w:ind w:left="1080"/>
        <w:contextualSpacing/>
        <w:jc w:val="both"/>
        <w:rPr>
          <w:rFonts w:ascii="Open Sans" w:eastAsia="Calibri" w:hAnsi="Open Sans" w:cs="Open Sans"/>
          <w:bCs/>
          <w:sz w:val="21"/>
          <w:szCs w:val="21"/>
        </w:rPr>
      </w:pPr>
    </w:p>
    <w:p w:rsidR="00E61C43" w:rsidRPr="00E61C43" w:rsidRDefault="00E61C43" w:rsidP="00E61C43">
      <w:pPr>
        <w:numPr>
          <w:ilvl w:val="1"/>
          <w:numId w:val="2"/>
        </w:numPr>
        <w:spacing w:before="240" w:after="360" w:line="300" w:lineRule="auto"/>
        <w:contextualSpacing/>
        <w:jc w:val="both"/>
        <w:rPr>
          <w:rFonts w:ascii="Open Sans" w:eastAsia="Calibri" w:hAnsi="Open Sans" w:cs="Open Sans"/>
          <w:bCs/>
          <w:sz w:val="21"/>
          <w:szCs w:val="21"/>
        </w:rPr>
      </w:pPr>
      <w:r w:rsidRPr="00E61C43">
        <w:rPr>
          <w:rFonts w:ascii="Open Sans" w:eastAsia="Calibri" w:hAnsi="Open Sans" w:cs="Open Sans"/>
          <w:bCs/>
          <w:sz w:val="21"/>
          <w:szCs w:val="21"/>
        </w:rPr>
        <w:t xml:space="preserve">An applicant proposing to acquire any MRT Unit shall demonstrate that it meets the staffing and quality assurance requirements of the American Society of Therapeutic Radiation and Oncology (ASTRO), the American College of Radiology (ACR), the American College of Radiation Oncology (ACRO) or a similar accrediting authority such as the National Cancer Institute (NCI). Applicants should provide evidence of accreditation by ASTRO, ACR, or other similar accrediting authority either as a stand-alone facility or through that of a parent organization with oversight capabilities. </w:t>
      </w:r>
    </w:p>
    <w:p w:rsidR="00E61C43" w:rsidRPr="00E61C43" w:rsidRDefault="00E61C43" w:rsidP="00E61C43">
      <w:pPr>
        <w:spacing w:before="240" w:after="360" w:line="300" w:lineRule="auto"/>
        <w:ind w:left="1080"/>
        <w:contextualSpacing/>
        <w:jc w:val="both"/>
        <w:rPr>
          <w:rFonts w:ascii="Open Sans" w:eastAsia="Calibri" w:hAnsi="Open Sans" w:cs="Open Sans"/>
          <w:bCs/>
          <w:sz w:val="21"/>
          <w:szCs w:val="21"/>
        </w:rPr>
      </w:pPr>
    </w:p>
    <w:p w:rsidR="00E61C43" w:rsidRPr="00E61C43" w:rsidRDefault="00E61C43" w:rsidP="00E61C43">
      <w:pPr>
        <w:numPr>
          <w:ilvl w:val="1"/>
          <w:numId w:val="2"/>
        </w:numPr>
        <w:spacing w:before="240" w:after="360" w:line="300" w:lineRule="auto"/>
        <w:contextualSpacing/>
        <w:jc w:val="both"/>
        <w:rPr>
          <w:rFonts w:ascii="Open Sans" w:eastAsia="Calibri" w:hAnsi="Open Sans" w:cs="Open Sans"/>
          <w:bCs/>
          <w:sz w:val="21"/>
          <w:szCs w:val="21"/>
        </w:rPr>
      </w:pPr>
      <w:r w:rsidRPr="00E61C43">
        <w:rPr>
          <w:rFonts w:ascii="Open Sans" w:eastAsia="Calibri" w:hAnsi="Open Sans" w:cs="Open Sans"/>
          <w:bCs/>
          <w:sz w:val="21"/>
          <w:szCs w:val="21"/>
        </w:rPr>
        <w:t>All applicants should seek and document emergency transfer agreements with local area hospitals, as appropriate. An applicant’s arrangements with its physician medical director must specify that said physician be an active member of the subject’s transfer agreement hospital medical staff.</w:t>
      </w:r>
    </w:p>
    <w:p w:rsidR="00E61C43" w:rsidRPr="00E61C43" w:rsidRDefault="00E61C43" w:rsidP="00E61C43">
      <w:pPr>
        <w:spacing w:before="240" w:after="360" w:line="300" w:lineRule="auto"/>
        <w:ind w:left="1080"/>
        <w:contextualSpacing/>
        <w:jc w:val="both"/>
        <w:rPr>
          <w:rFonts w:ascii="Open Sans" w:eastAsia="Calibri" w:hAnsi="Open Sans" w:cs="Open Sans"/>
          <w:bCs/>
          <w:sz w:val="21"/>
          <w:szCs w:val="21"/>
        </w:rPr>
      </w:pPr>
    </w:p>
    <w:p w:rsidR="00E61C43" w:rsidRPr="00E61C43" w:rsidRDefault="00E61C43" w:rsidP="00E61C43">
      <w:pPr>
        <w:numPr>
          <w:ilvl w:val="1"/>
          <w:numId w:val="2"/>
        </w:numPr>
        <w:spacing w:before="240" w:after="360" w:line="300" w:lineRule="auto"/>
        <w:contextualSpacing/>
        <w:jc w:val="both"/>
        <w:rPr>
          <w:rFonts w:ascii="Open Sans" w:eastAsia="Calibri" w:hAnsi="Open Sans" w:cs="Open Sans"/>
          <w:bCs/>
          <w:sz w:val="21"/>
          <w:szCs w:val="21"/>
        </w:rPr>
      </w:pPr>
      <w:r w:rsidRPr="00E61C43">
        <w:rPr>
          <w:rFonts w:ascii="Open Sans" w:eastAsia="Calibri" w:hAnsi="Open Sans" w:cs="Open Sans"/>
          <w:bCs/>
          <w:sz w:val="21"/>
          <w:szCs w:val="21"/>
        </w:rPr>
        <w:t>All applicants should demonstrate the ability to provide simulations and treatment planning services to support the volumes they project and any impact such services may have on volumes and treatment times.</w:t>
      </w:r>
    </w:p>
    <w:p w:rsidR="00E61C43" w:rsidRPr="00E61C43" w:rsidRDefault="00E61C43" w:rsidP="00E61C43">
      <w:pPr>
        <w:spacing w:before="240" w:after="360" w:line="300" w:lineRule="auto"/>
        <w:ind w:left="1080"/>
        <w:contextualSpacing/>
        <w:jc w:val="both"/>
        <w:rPr>
          <w:rFonts w:ascii="Open Sans" w:eastAsia="Calibri" w:hAnsi="Open Sans" w:cs="Open Sans"/>
          <w:bCs/>
          <w:sz w:val="21"/>
          <w:szCs w:val="21"/>
        </w:rPr>
      </w:pPr>
    </w:p>
    <w:p w:rsidR="00E61C43" w:rsidRPr="00E61C43" w:rsidRDefault="00E61C43" w:rsidP="00E61C43">
      <w:pPr>
        <w:numPr>
          <w:ilvl w:val="1"/>
          <w:numId w:val="2"/>
        </w:numPr>
        <w:spacing w:before="240" w:after="360" w:line="300" w:lineRule="auto"/>
        <w:contextualSpacing/>
        <w:jc w:val="both"/>
        <w:rPr>
          <w:rFonts w:ascii="Open Sans" w:eastAsia="Calibri" w:hAnsi="Open Sans" w:cs="Open Sans"/>
          <w:bCs/>
          <w:sz w:val="21"/>
          <w:szCs w:val="21"/>
        </w:rPr>
      </w:pPr>
      <w:r w:rsidRPr="00E61C43">
        <w:rPr>
          <w:rFonts w:ascii="Open Sans" w:eastAsia="Calibri" w:hAnsi="Open Sans" w:cs="Open Sans"/>
          <w:bCs/>
          <w:sz w:val="21"/>
          <w:szCs w:val="21"/>
        </w:rPr>
        <w:t>Applicants should provide evidence of plans for the radiation oncology physician treating patients to participate in consultative services and a multi-disciplinary cancer committee to ensure high quality treatment for the patients. Additionally, each center should have a dedicated radiation oncologist to serve as medical director with defined responsibilities overseeing quality assurance for the site.</w:t>
      </w:r>
    </w:p>
    <w:p w:rsidR="00E61C43" w:rsidRPr="00E61C43" w:rsidRDefault="00E61C43" w:rsidP="00E61C43">
      <w:pPr>
        <w:spacing w:before="240" w:after="360" w:line="300" w:lineRule="auto"/>
        <w:ind w:left="1080"/>
        <w:contextualSpacing/>
        <w:jc w:val="both"/>
        <w:rPr>
          <w:rFonts w:ascii="Open Sans" w:eastAsia="Calibri" w:hAnsi="Open Sans" w:cs="Open Sans"/>
          <w:bCs/>
          <w:sz w:val="21"/>
          <w:szCs w:val="21"/>
        </w:rPr>
      </w:pPr>
    </w:p>
    <w:p w:rsidR="00E61C43" w:rsidRPr="00E61C43" w:rsidRDefault="00E61C43" w:rsidP="00E61C43">
      <w:pPr>
        <w:numPr>
          <w:ilvl w:val="1"/>
          <w:numId w:val="2"/>
        </w:numPr>
        <w:spacing w:before="240" w:after="360" w:line="300" w:lineRule="auto"/>
        <w:contextualSpacing/>
        <w:jc w:val="both"/>
        <w:rPr>
          <w:rFonts w:ascii="Open Sans" w:eastAsia="Calibri" w:hAnsi="Open Sans" w:cs="Open Sans"/>
          <w:bCs/>
          <w:sz w:val="21"/>
          <w:szCs w:val="21"/>
        </w:rPr>
      </w:pPr>
      <w:r w:rsidRPr="00E61C43">
        <w:rPr>
          <w:rFonts w:ascii="Open Sans" w:eastAsia="Calibri" w:hAnsi="Open Sans" w:cs="Open Sans"/>
          <w:bCs/>
          <w:sz w:val="21"/>
          <w:szCs w:val="21"/>
        </w:rPr>
        <w:t>Treatment planning at off-site centers should be coordinated with a multi-disciplinary cancer center.</w:t>
      </w:r>
    </w:p>
    <w:p w:rsidR="00E61C43" w:rsidRPr="00E61C43" w:rsidRDefault="00E61C43" w:rsidP="00E61C43">
      <w:pPr>
        <w:spacing w:before="240" w:after="360" w:line="300" w:lineRule="auto"/>
        <w:ind w:left="1080"/>
        <w:contextualSpacing/>
        <w:jc w:val="both"/>
        <w:rPr>
          <w:rFonts w:ascii="Open Sans" w:eastAsia="Calibri" w:hAnsi="Open Sans" w:cs="Open Sans"/>
          <w:bCs/>
          <w:sz w:val="21"/>
          <w:szCs w:val="21"/>
        </w:rPr>
      </w:pPr>
    </w:p>
    <w:p w:rsidR="00E61C43" w:rsidRPr="00E61C43" w:rsidRDefault="00E61C43" w:rsidP="00E61C43">
      <w:pPr>
        <w:numPr>
          <w:ilvl w:val="0"/>
          <w:numId w:val="2"/>
        </w:numPr>
        <w:spacing w:before="240" w:after="360" w:line="300" w:lineRule="auto"/>
        <w:contextualSpacing/>
        <w:jc w:val="both"/>
        <w:rPr>
          <w:rFonts w:ascii="Open Sans" w:eastAsia="Calibri" w:hAnsi="Open Sans" w:cs="Open Sans"/>
          <w:bCs/>
          <w:sz w:val="21"/>
          <w:szCs w:val="21"/>
        </w:rPr>
      </w:pPr>
      <w:r w:rsidRPr="00E61C43">
        <w:rPr>
          <w:rFonts w:ascii="Open Sans" w:eastAsia="Calibri" w:hAnsi="Open Sans" w:cs="Open Sans"/>
          <w:b/>
          <w:bCs/>
          <w:sz w:val="21"/>
          <w:szCs w:val="21"/>
        </w:rPr>
        <w:t>Data Requirements:</w:t>
      </w:r>
      <w:r w:rsidRPr="00E61C43">
        <w:rPr>
          <w:rFonts w:ascii="Open Sans" w:eastAsia="Calibri" w:hAnsi="Open Sans" w:cs="Open Sans"/>
          <w:bCs/>
          <w:sz w:val="21"/>
          <w:szCs w:val="21"/>
        </w:rPr>
        <w:t xml:space="preserve"> Applicants shall agree to provide the Department of Health and/or the Health Services and Development Agency with all reasonably requested information and statistical data related to the operation and provision of services and to report that data in the time and format requested. As a standard practice, existing data reporting streams will be relied upon and adapted over time to collect all needed information.</w:t>
      </w:r>
    </w:p>
    <w:p w:rsidR="00E61C43" w:rsidRPr="00E61C43" w:rsidRDefault="00E61C43" w:rsidP="00E61C43">
      <w:pPr>
        <w:spacing w:before="240" w:after="360" w:line="300" w:lineRule="auto"/>
        <w:ind w:left="360"/>
        <w:contextualSpacing/>
        <w:jc w:val="both"/>
        <w:rPr>
          <w:rFonts w:ascii="Open Sans" w:eastAsia="Calibri" w:hAnsi="Open Sans" w:cs="Open Sans"/>
          <w:bCs/>
          <w:sz w:val="21"/>
          <w:szCs w:val="21"/>
        </w:rPr>
      </w:pPr>
    </w:p>
    <w:p w:rsidR="00E61C43" w:rsidRPr="00E61C43" w:rsidRDefault="00E61C43" w:rsidP="00E61C43">
      <w:pPr>
        <w:numPr>
          <w:ilvl w:val="0"/>
          <w:numId w:val="2"/>
        </w:numPr>
        <w:spacing w:before="240" w:after="360" w:line="300" w:lineRule="auto"/>
        <w:contextualSpacing/>
        <w:jc w:val="both"/>
        <w:rPr>
          <w:rFonts w:ascii="Open Sans" w:eastAsia="Calibri" w:hAnsi="Open Sans" w:cs="Open Sans"/>
          <w:bCs/>
          <w:sz w:val="21"/>
          <w:szCs w:val="21"/>
        </w:rPr>
      </w:pPr>
      <w:r w:rsidRPr="00E61C43">
        <w:rPr>
          <w:rFonts w:ascii="Open Sans" w:eastAsia="Calibri" w:hAnsi="Open Sans" w:cs="Open Sans"/>
          <w:b/>
          <w:bCs/>
          <w:sz w:val="21"/>
          <w:szCs w:val="21"/>
        </w:rPr>
        <w:lastRenderedPageBreak/>
        <w:t>Services to High-Need and Underserved Populations:</w:t>
      </w:r>
      <w:r w:rsidRPr="00E61C43">
        <w:rPr>
          <w:rFonts w:ascii="Open Sans" w:eastAsia="Calibri" w:hAnsi="Open Sans" w:cs="Open Sans"/>
          <w:bCs/>
          <w:sz w:val="21"/>
          <w:szCs w:val="21"/>
        </w:rPr>
        <w:t xml:space="preserve">  Special consideration should be given to applicants providing services fulfilling the unique needs and requirements of certain high-need populations, including uninsured, low-income, and underserved geographic regions, as well as to other underserved population groups. This includes any applicant: </w:t>
      </w:r>
    </w:p>
    <w:p w:rsidR="00E61C43" w:rsidRPr="00E61C43" w:rsidRDefault="00E61C43" w:rsidP="00E61C43">
      <w:pPr>
        <w:spacing w:before="240" w:after="360" w:line="300" w:lineRule="auto"/>
        <w:ind w:left="360"/>
        <w:contextualSpacing/>
        <w:jc w:val="both"/>
        <w:rPr>
          <w:rFonts w:ascii="Open Sans" w:eastAsia="Calibri" w:hAnsi="Open Sans" w:cs="Open Sans"/>
          <w:bCs/>
          <w:sz w:val="21"/>
          <w:szCs w:val="21"/>
        </w:rPr>
      </w:pPr>
    </w:p>
    <w:p w:rsidR="00E61C43" w:rsidRPr="00E61C43" w:rsidRDefault="00E61C43" w:rsidP="00E61C43">
      <w:pPr>
        <w:numPr>
          <w:ilvl w:val="1"/>
          <w:numId w:val="2"/>
        </w:numPr>
        <w:spacing w:before="240" w:after="360" w:line="300" w:lineRule="auto"/>
        <w:contextualSpacing/>
        <w:jc w:val="both"/>
        <w:rPr>
          <w:rFonts w:ascii="Open Sans" w:eastAsia="Calibri" w:hAnsi="Open Sans" w:cs="Open Sans"/>
          <w:bCs/>
          <w:sz w:val="21"/>
          <w:szCs w:val="21"/>
        </w:rPr>
      </w:pPr>
      <w:r w:rsidRPr="00E61C43">
        <w:rPr>
          <w:rFonts w:ascii="Open Sans" w:eastAsia="Calibri" w:hAnsi="Open Sans" w:cs="Open Sans"/>
          <w:bCs/>
          <w:sz w:val="21"/>
          <w:szCs w:val="21"/>
        </w:rPr>
        <w:t>Who is offering the service in a medically underserved area as designated by the United States Health Resources and Services Administration,</w:t>
      </w:r>
    </w:p>
    <w:p w:rsidR="00E61C43" w:rsidRPr="00E61C43" w:rsidRDefault="00E61C43" w:rsidP="00E61C43">
      <w:pPr>
        <w:numPr>
          <w:ilvl w:val="1"/>
          <w:numId w:val="2"/>
        </w:numPr>
        <w:spacing w:before="240" w:after="360" w:line="300" w:lineRule="auto"/>
        <w:contextualSpacing/>
        <w:jc w:val="both"/>
        <w:rPr>
          <w:rFonts w:ascii="Open Sans" w:eastAsia="Calibri" w:hAnsi="Open Sans" w:cs="Open Sans"/>
          <w:bCs/>
          <w:sz w:val="21"/>
          <w:szCs w:val="21"/>
        </w:rPr>
      </w:pPr>
      <w:r w:rsidRPr="00E61C43">
        <w:rPr>
          <w:rFonts w:ascii="Open Sans" w:eastAsia="Calibri" w:hAnsi="Open Sans" w:cs="Open Sans"/>
          <w:bCs/>
          <w:sz w:val="21"/>
          <w:szCs w:val="21"/>
        </w:rPr>
        <w:t xml:space="preserve">Who is a “safety net hospital” or a “children’s hospital” as defined by the Bureau of </w:t>
      </w:r>
      <w:proofErr w:type="spellStart"/>
      <w:r w:rsidRPr="00E61C43">
        <w:rPr>
          <w:rFonts w:ascii="Open Sans" w:eastAsia="Calibri" w:hAnsi="Open Sans" w:cs="Open Sans"/>
          <w:bCs/>
          <w:sz w:val="21"/>
          <w:szCs w:val="21"/>
        </w:rPr>
        <w:t>TennCare</w:t>
      </w:r>
      <w:proofErr w:type="spellEnd"/>
      <w:r w:rsidRPr="00E61C43">
        <w:rPr>
          <w:rFonts w:ascii="Open Sans" w:eastAsia="Calibri" w:hAnsi="Open Sans" w:cs="Open Sans"/>
          <w:bCs/>
          <w:sz w:val="21"/>
          <w:szCs w:val="21"/>
        </w:rPr>
        <w:t xml:space="preserve"> Essential Access Hospital payment program, and/or</w:t>
      </w:r>
    </w:p>
    <w:p w:rsidR="00E61C43" w:rsidRPr="00E61C43" w:rsidRDefault="00E61C43" w:rsidP="00E61C43">
      <w:pPr>
        <w:numPr>
          <w:ilvl w:val="1"/>
          <w:numId w:val="2"/>
        </w:numPr>
        <w:spacing w:before="240" w:after="360" w:line="300" w:lineRule="auto"/>
        <w:contextualSpacing/>
        <w:jc w:val="both"/>
        <w:rPr>
          <w:rFonts w:ascii="Open Sans" w:eastAsia="Calibri" w:hAnsi="Open Sans" w:cs="Open Sans"/>
          <w:bCs/>
          <w:sz w:val="21"/>
          <w:szCs w:val="21"/>
        </w:rPr>
      </w:pPr>
      <w:r w:rsidRPr="00E61C43">
        <w:rPr>
          <w:rFonts w:ascii="Open Sans" w:eastAsia="Calibri" w:hAnsi="Open Sans" w:cs="Open Sans"/>
          <w:bCs/>
          <w:sz w:val="21"/>
          <w:szCs w:val="21"/>
        </w:rPr>
        <w:t xml:space="preserve">Who provides a written commitment of intention to contract with at least one </w:t>
      </w:r>
      <w:proofErr w:type="spellStart"/>
      <w:r w:rsidRPr="00E61C43">
        <w:rPr>
          <w:rFonts w:ascii="Open Sans" w:eastAsia="Calibri" w:hAnsi="Open Sans" w:cs="Open Sans"/>
          <w:bCs/>
          <w:sz w:val="21"/>
          <w:szCs w:val="21"/>
        </w:rPr>
        <w:t>TennCare</w:t>
      </w:r>
      <w:proofErr w:type="spellEnd"/>
      <w:r w:rsidRPr="00E61C43">
        <w:rPr>
          <w:rFonts w:ascii="Open Sans" w:eastAsia="Calibri" w:hAnsi="Open Sans" w:cs="Open Sans"/>
          <w:bCs/>
          <w:sz w:val="21"/>
          <w:szCs w:val="21"/>
        </w:rPr>
        <w:t xml:space="preserve"> MCO and, if providing adult services, to participate in the Medicare program.</w:t>
      </w:r>
    </w:p>
    <w:p w:rsidR="00E61C43" w:rsidRPr="00E61C43" w:rsidRDefault="00E61C43" w:rsidP="00E61C43">
      <w:pPr>
        <w:spacing w:before="240" w:after="360" w:line="300" w:lineRule="auto"/>
        <w:ind w:left="1080"/>
        <w:contextualSpacing/>
        <w:jc w:val="both"/>
        <w:rPr>
          <w:rFonts w:ascii="Open Sans" w:eastAsia="Calibri" w:hAnsi="Open Sans" w:cs="Open Sans"/>
          <w:bCs/>
          <w:sz w:val="21"/>
          <w:szCs w:val="21"/>
        </w:rPr>
      </w:pPr>
    </w:p>
    <w:p w:rsidR="00E61C43" w:rsidRPr="00E61C43" w:rsidRDefault="00E61C43" w:rsidP="00E61C43">
      <w:pPr>
        <w:numPr>
          <w:ilvl w:val="0"/>
          <w:numId w:val="2"/>
        </w:numPr>
        <w:spacing w:before="240" w:after="360" w:line="300" w:lineRule="auto"/>
        <w:contextualSpacing/>
        <w:jc w:val="both"/>
        <w:rPr>
          <w:rFonts w:ascii="Open Sans" w:eastAsia="Calibri" w:hAnsi="Open Sans" w:cs="Open Sans"/>
          <w:bCs/>
          <w:sz w:val="21"/>
          <w:szCs w:val="21"/>
        </w:rPr>
      </w:pPr>
      <w:r w:rsidRPr="00E61C43">
        <w:rPr>
          <w:rFonts w:ascii="Open Sans" w:eastAsia="Calibri" w:hAnsi="Open Sans" w:cs="Open Sans"/>
          <w:b/>
          <w:bCs/>
          <w:sz w:val="21"/>
          <w:szCs w:val="21"/>
        </w:rPr>
        <w:t>Access:</w:t>
      </w:r>
      <w:r w:rsidRPr="00E61C43">
        <w:rPr>
          <w:rFonts w:ascii="Open Sans" w:eastAsia="Calibri" w:hAnsi="Open Sans" w:cs="Open Sans"/>
          <w:bCs/>
          <w:sz w:val="21"/>
          <w:szCs w:val="21"/>
        </w:rPr>
        <w:t xml:space="preserve"> An applicant should demonstrate an ability and willingness to serve equally all of the service area in which it seeks certification.</w:t>
      </w:r>
    </w:p>
    <w:p w:rsidR="00E61C43" w:rsidRPr="00E61C43" w:rsidRDefault="00E61C43" w:rsidP="00E61C43">
      <w:pPr>
        <w:spacing w:before="240" w:after="360" w:line="300" w:lineRule="auto"/>
        <w:ind w:left="360"/>
        <w:contextualSpacing/>
        <w:jc w:val="both"/>
        <w:rPr>
          <w:rFonts w:ascii="Open Sans" w:eastAsia="Calibri" w:hAnsi="Open Sans" w:cs="Open Sans"/>
          <w:bCs/>
          <w:sz w:val="21"/>
          <w:szCs w:val="21"/>
        </w:rPr>
      </w:pPr>
    </w:p>
    <w:p w:rsidR="00E61C43" w:rsidRPr="00E61C43" w:rsidRDefault="00E61C43" w:rsidP="00E61C43">
      <w:pPr>
        <w:numPr>
          <w:ilvl w:val="0"/>
          <w:numId w:val="2"/>
        </w:numPr>
        <w:spacing w:before="240" w:after="360" w:line="300" w:lineRule="auto"/>
        <w:contextualSpacing/>
        <w:jc w:val="both"/>
        <w:rPr>
          <w:rFonts w:ascii="Open Sans" w:eastAsia="Calibri" w:hAnsi="Open Sans" w:cs="Open Sans"/>
          <w:bCs/>
          <w:sz w:val="21"/>
          <w:szCs w:val="21"/>
        </w:rPr>
      </w:pPr>
      <w:r w:rsidRPr="00E61C43">
        <w:rPr>
          <w:rFonts w:ascii="Open Sans" w:eastAsia="Calibri" w:hAnsi="Open Sans" w:cs="Open Sans"/>
          <w:b/>
          <w:bCs/>
          <w:sz w:val="21"/>
          <w:szCs w:val="21"/>
        </w:rPr>
        <w:t>Adequate Staffing:</w:t>
      </w:r>
      <w:r w:rsidRPr="00E61C43">
        <w:rPr>
          <w:rFonts w:ascii="Open Sans" w:eastAsia="Calibri" w:hAnsi="Open Sans" w:cs="Open Sans"/>
          <w:bCs/>
          <w:sz w:val="21"/>
          <w:szCs w:val="21"/>
        </w:rPr>
        <w:t xml:space="preserve"> An applicant shall document a plan demonstrating the intent and ability to recruit, hire, train, assess competencies of, supervise, and retain the appropriate numbers of qualified personnel to provide the services described in the application and that such personnel are available in the proposed service area.</w:t>
      </w:r>
    </w:p>
    <w:p w:rsidR="00E61C43" w:rsidRPr="00E61C43" w:rsidRDefault="00E61C43" w:rsidP="00E61C43">
      <w:pPr>
        <w:spacing w:before="240" w:after="360" w:line="300" w:lineRule="auto"/>
        <w:ind w:left="360"/>
        <w:contextualSpacing/>
        <w:jc w:val="both"/>
        <w:rPr>
          <w:rFonts w:ascii="Open Sans" w:eastAsia="Calibri" w:hAnsi="Open Sans" w:cs="Open Sans"/>
          <w:bCs/>
          <w:sz w:val="21"/>
          <w:szCs w:val="21"/>
        </w:rPr>
      </w:pPr>
    </w:p>
    <w:p w:rsidR="00E61C43" w:rsidRPr="00E61C43" w:rsidRDefault="00E61C43" w:rsidP="00E61C43">
      <w:pPr>
        <w:numPr>
          <w:ilvl w:val="0"/>
          <w:numId w:val="2"/>
        </w:numPr>
        <w:spacing w:before="240" w:after="360" w:line="300" w:lineRule="auto"/>
        <w:contextualSpacing/>
        <w:jc w:val="both"/>
        <w:rPr>
          <w:rFonts w:ascii="Open Sans" w:eastAsia="Calibri" w:hAnsi="Open Sans" w:cs="Open Sans"/>
          <w:bCs/>
          <w:sz w:val="21"/>
          <w:szCs w:val="21"/>
        </w:rPr>
      </w:pPr>
      <w:r w:rsidRPr="00E61C43">
        <w:rPr>
          <w:rFonts w:ascii="Open Sans" w:eastAsia="Calibri" w:hAnsi="Open Sans" w:cs="Open Sans"/>
          <w:b/>
          <w:bCs/>
          <w:sz w:val="21"/>
          <w:szCs w:val="21"/>
        </w:rPr>
        <w:t>Assurance of Resources:</w:t>
      </w:r>
      <w:r w:rsidRPr="00E61C43">
        <w:rPr>
          <w:rFonts w:ascii="Open Sans" w:eastAsia="Calibri" w:hAnsi="Open Sans" w:cs="Open Sans"/>
          <w:bCs/>
          <w:sz w:val="21"/>
          <w:szCs w:val="21"/>
        </w:rPr>
        <w:t xml:space="preserve"> The applicant shall document that it will provide the resources necessary to properly support the applicable level of services. Included in such documentation shall be a letter of support from the applicant’s governing board of directors, Chief Executive Officer, or Chief Financial Officer documenting the full commitment of the applicant to develop and maintain the facility resources, equipment, and staffing to provide the appropriate services. The applicant shall also document the financial costs of maintaining these resources and its ability to sustain them.</w:t>
      </w:r>
    </w:p>
    <w:p w:rsidR="00E61C43" w:rsidRPr="00E61C43" w:rsidRDefault="00E61C43" w:rsidP="00E61C43">
      <w:pPr>
        <w:spacing w:before="240" w:after="360" w:line="300" w:lineRule="auto"/>
        <w:ind w:left="360"/>
        <w:contextualSpacing/>
        <w:jc w:val="both"/>
        <w:rPr>
          <w:rFonts w:ascii="Open Sans" w:eastAsia="Calibri" w:hAnsi="Open Sans" w:cs="Open Sans"/>
          <w:bCs/>
          <w:sz w:val="21"/>
          <w:szCs w:val="21"/>
        </w:rPr>
      </w:pPr>
    </w:p>
    <w:p w:rsidR="00E61C43" w:rsidRPr="00E61C43" w:rsidRDefault="00E61C43" w:rsidP="00E61C43">
      <w:pPr>
        <w:numPr>
          <w:ilvl w:val="0"/>
          <w:numId w:val="2"/>
        </w:numPr>
        <w:spacing w:before="240" w:after="360" w:line="300" w:lineRule="auto"/>
        <w:contextualSpacing/>
        <w:jc w:val="both"/>
        <w:rPr>
          <w:rFonts w:ascii="Open Sans" w:eastAsia="Calibri" w:hAnsi="Open Sans" w:cs="Open Sans"/>
          <w:b/>
          <w:bCs/>
          <w:sz w:val="21"/>
          <w:szCs w:val="21"/>
        </w:rPr>
      </w:pPr>
      <w:r w:rsidRPr="00E61C43">
        <w:rPr>
          <w:rFonts w:ascii="Open Sans" w:eastAsia="Calibri" w:hAnsi="Open Sans" w:cs="Open Sans"/>
          <w:b/>
          <w:bCs/>
          <w:sz w:val="21"/>
          <w:szCs w:val="21"/>
        </w:rPr>
        <w:t xml:space="preserve">Quality Control and Monitoring: </w:t>
      </w:r>
      <w:r w:rsidRPr="00E61C43">
        <w:rPr>
          <w:rFonts w:ascii="Open Sans" w:eastAsia="Calibri" w:hAnsi="Open Sans" w:cs="Open Sans"/>
          <w:bCs/>
          <w:sz w:val="21"/>
          <w:szCs w:val="21"/>
        </w:rPr>
        <w:t>The applicant shall identify and document its existing or proposed plan for data reporting, quality improvement, and outcome and process monitoring system.</w:t>
      </w:r>
    </w:p>
    <w:p w:rsidR="00E61C43" w:rsidRPr="00E61C43" w:rsidRDefault="00E61C43" w:rsidP="00E61C43">
      <w:pPr>
        <w:spacing w:before="240" w:after="360" w:line="300" w:lineRule="auto"/>
        <w:contextualSpacing/>
        <w:jc w:val="both"/>
        <w:rPr>
          <w:rFonts w:ascii="Open Sans" w:eastAsia="Calibri" w:hAnsi="Open Sans" w:cs="Open Sans"/>
          <w:b/>
          <w:bCs/>
          <w:sz w:val="21"/>
          <w:szCs w:val="21"/>
        </w:rPr>
      </w:pPr>
      <w:bookmarkStart w:id="1" w:name="_GoBack"/>
      <w:bookmarkEnd w:id="1"/>
    </w:p>
    <w:p w:rsidR="00E61C43" w:rsidRPr="00E61C43" w:rsidRDefault="00E61C43" w:rsidP="00E61C43">
      <w:pPr>
        <w:spacing w:before="240" w:after="360" w:line="300" w:lineRule="auto"/>
        <w:ind w:left="360"/>
        <w:contextualSpacing/>
        <w:jc w:val="both"/>
        <w:rPr>
          <w:rFonts w:ascii="Open Sans" w:eastAsia="Calibri" w:hAnsi="Open Sans" w:cs="Open Sans"/>
          <w:b/>
          <w:bCs/>
          <w:sz w:val="21"/>
          <w:szCs w:val="21"/>
        </w:rPr>
      </w:pPr>
    </w:p>
    <w:p w:rsidR="00E61C43" w:rsidRPr="00E61C43" w:rsidRDefault="00E61C43" w:rsidP="00E61C43">
      <w:pPr>
        <w:numPr>
          <w:ilvl w:val="0"/>
          <w:numId w:val="2"/>
        </w:numPr>
        <w:spacing w:before="240" w:after="360" w:line="300" w:lineRule="auto"/>
        <w:contextualSpacing/>
        <w:jc w:val="both"/>
        <w:rPr>
          <w:rFonts w:ascii="Open Sans" w:eastAsia="Calibri" w:hAnsi="Open Sans" w:cs="Open Sans"/>
          <w:b/>
          <w:bCs/>
          <w:sz w:val="21"/>
          <w:szCs w:val="21"/>
        </w:rPr>
      </w:pPr>
      <w:r w:rsidRPr="00E61C43">
        <w:rPr>
          <w:rFonts w:ascii="Open Sans" w:eastAsia="Calibri" w:hAnsi="Open Sans" w:cs="Open Sans"/>
          <w:b/>
          <w:bCs/>
          <w:sz w:val="21"/>
          <w:szCs w:val="21"/>
        </w:rPr>
        <w:lastRenderedPageBreak/>
        <w:t xml:space="preserve">Licensure and Quality Considerations: </w:t>
      </w:r>
      <w:r w:rsidRPr="00E61C43">
        <w:rPr>
          <w:rFonts w:ascii="Open Sans" w:eastAsia="Calibri" w:hAnsi="Open Sans" w:cs="Open Sans"/>
          <w:bCs/>
          <w:sz w:val="21"/>
          <w:szCs w:val="21"/>
        </w:rPr>
        <w:t>Any existing applicant for this CON service category shall be in compliance with the appropriate rules of TDH. The applicant shall also demonstrate its accreditation status with the Joint Commission or other applicable accrediting agency.</w:t>
      </w:r>
    </w:p>
    <w:p w:rsidR="00CA4749" w:rsidRDefault="00E61C43"/>
    <w:sectPr w:rsidR="00CA4749">
      <w:footerReference w:type="defaul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61C43" w:rsidRDefault="00E61C43" w:rsidP="00E61C43">
      <w:pPr>
        <w:spacing w:after="0" w:line="240" w:lineRule="auto"/>
      </w:pPr>
      <w:r>
        <w:separator/>
      </w:r>
    </w:p>
  </w:endnote>
  <w:endnote w:type="continuationSeparator" w:id="0">
    <w:p w:rsidR="00E61C43" w:rsidRDefault="00E61C43" w:rsidP="00E61C4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Open Sans">
    <w:panose1 w:val="020B0606030504020204"/>
    <w:charset w:val="00"/>
    <w:family w:val="swiss"/>
    <w:pitch w:val="variable"/>
    <w:sig w:usb0="E00002EF" w:usb1="4000205B" w:usb2="00000028" w:usb3="00000000" w:csb0="000001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PermianSlabSerifTypeface">
    <w:panose1 w:val="00000000000000000000"/>
    <w:charset w:val="00"/>
    <w:family w:val="modern"/>
    <w:notTrueType/>
    <w:pitch w:val="variable"/>
    <w:sig w:usb0="A000022F" w:usb1="4000A46A" w:usb2="00000000" w:usb3="00000000" w:csb0="00000007"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44094941"/>
      <w:docPartObj>
        <w:docPartGallery w:val="Page Numbers (Bottom of Page)"/>
        <w:docPartUnique/>
      </w:docPartObj>
    </w:sdtPr>
    <w:sdtEndPr>
      <w:rPr>
        <w:noProof/>
      </w:rPr>
    </w:sdtEndPr>
    <w:sdtContent>
      <w:p w:rsidR="00E61C43" w:rsidRDefault="00E61C43">
        <w:pPr>
          <w:pStyle w:val="Footer"/>
          <w:jc w:val="right"/>
        </w:pPr>
        <w:r>
          <w:fldChar w:fldCharType="begin"/>
        </w:r>
        <w:r>
          <w:instrText xml:space="preserve"> PAGE   \* MERGEFORMAT </w:instrText>
        </w:r>
        <w:r>
          <w:fldChar w:fldCharType="separate"/>
        </w:r>
        <w:r>
          <w:rPr>
            <w:noProof/>
          </w:rPr>
          <w:t>1</w:t>
        </w:r>
        <w:r>
          <w:rPr>
            <w:noProof/>
          </w:rPr>
          <w:fldChar w:fldCharType="end"/>
        </w:r>
      </w:p>
    </w:sdtContent>
  </w:sdt>
  <w:p w:rsidR="00E61C43" w:rsidRDefault="00E61C43">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61C43" w:rsidRDefault="00E61C43" w:rsidP="00E61C43">
      <w:pPr>
        <w:spacing w:after="0" w:line="240" w:lineRule="auto"/>
      </w:pPr>
      <w:r>
        <w:separator/>
      </w:r>
    </w:p>
  </w:footnote>
  <w:footnote w:type="continuationSeparator" w:id="0">
    <w:p w:rsidR="00E61C43" w:rsidRDefault="00E61C43" w:rsidP="00E61C43">
      <w:pPr>
        <w:spacing w:after="0" w:line="240" w:lineRule="auto"/>
      </w:pPr>
      <w:r>
        <w:continuationSeparator/>
      </w:r>
    </w:p>
  </w:footnote>
  <w:footnote w:id="1">
    <w:p w:rsidR="00E61C43" w:rsidRPr="005D2E2E" w:rsidRDefault="00E61C43" w:rsidP="00E61C43">
      <w:pPr>
        <w:pStyle w:val="FootnoteText"/>
        <w:rPr>
          <w:sz w:val="18"/>
          <w:szCs w:val="18"/>
        </w:rPr>
      </w:pPr>
      <w:r w:rsidRPr="005D2E2E">
        <w:rPr>
          <w:rStyle w:val="FootnoteReference"/>
          <w:sz w:val="18"/>
          <w:szCs w:val="18"/>
        </w:rPr>
        <w:footnoteRef/>
      </w:r>
      <w:r w:rsidRPr="005D2E2E">
        <w:rPr>
          <w:sz w:val="18"/>
          <w:szCs w:val="18"/>
        </w:rPr>
        <w:t xml:space="preserve"> National Cancer Institute Definition </w:t>
      </w:r>
    </w:p>
  </w:footnote>
  <w:footnote w:id="2">
    <w:p w:rsidR="00E61C43" w:rsidRDefault="00E61C43" w:rsidP="00E61C43">
      <w:pPr>
        <w:pStyle w:val="FootnoteText"/>
      </w:pPr>
      <w:r w:rsidRPr="005D2E2E">
        <w:rPr>
          <w:rStyle w:val="FootnoteReference"/>
          <w:sz w:val="18"/>
          <w:szCs w:val="18"/>
        </w:rPr>
        <w:footnoteRef/>
      </w:r>
      <w:r w:rsidRPr="005D2E2E">
        <w:rPr>
          <w:sz w:val="18"/>
          <w:szCs w:val="18"/>
        </w:rPr>
        <w:t xml:space="preserve"> National Cancer Institute Definition</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DFE54AA"/>
    <w:multiLevelType w:val="hybridMultilevel"/>
    <w:tmpl w:val="F5404C48"/>
    <w:lvl w:ilvl="0" w:tplc="C7D4B484">
      <w:start w:val="1"/>
      <w:numFmt w:val="decimal"/>
      <w:lvlText w:val="%1."/>
      <w:lvlJc w:val="left"/>
      <w:pPr>
        <w:ind w:left="360" w:hanging="360"/>
      </w:pPr>
      <w:rPr>
        <w:rFonts w:ascii="Open Sans" w:hAnsi="Open Sans" w:cs="Open Sans" w:hint="default"/>
        <w:b/>
        <w:sz w:val="21"/>
        <w:szCs w:val="21"/>
      </w:r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
    <w:nsid w:val="4D5034D7"/>
    <w:multiLevelType w:val="hybridMultilevel"/>
    <w:tmpl w:val="EFDEDEC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61C43"/>
    <w:rsid w:val="00B52C96"/>
    <w:rsid w:val="00E61C43"/>
    <w:rsid w:val="00E85B8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iPriority w:val="99"/>
    <w:semiHidden/>
    <w:unhideWhenUsed/>
    <w:rsid w:val="00E61C43"/>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E61C43"/>
    <w:rPr>
      <w:sz w:val="20"/>
      <w:szCs w:val="20"/>
    </w:rPr>
  </w:style>
  <w:style w:type="character" w:styleId="FootnoteReference">
    <w:name w:val="footnote reference"/>
    <w:basedOn w:val="DefaultParagraphFont"/>
    <w:uiPriority w:val="99"/>
    <w:semiHidden/>
    <w:unhideWhenUsed/>
    <w:rsid w:val="00E61C43"/>
    <w:rPr>
      <w:vertAlign w:val="superscript"/>
    </w:rPr>
  </w:style>
  <w:style w:type="table" w:styleId="TableGrid">
    <w:name w:val="Table Grid"/>
    <w:basedOn w:val="TableNormal"/>
    <w:uiPriority w:val="39"/>
    <w:rsid w:val="00E61C4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E61C4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61C43"/>
    <w:rPr>
      <w:rFonts w:ascii="Tahoma" w:hAnsi="Tahoma" w:cs="Tahoma"/>
      <w:sz w:val="16"/>
      <w:szCs w:val="16"/>
    </w:rPr>
  </w:style>
  <w:style w:type="paragraph" w:styleId="ListParagraph">
    <w:name w:val="List Paragraph"/>
    <w:basedOn w:val="Normal"/>
    <w:uiPriority w:val="34"/>
    <w:qFormat/>
    <w:rsid w:val="00E61C43"/>
    <w:pPr>
      <w:ind w:left="720"/>
      <w:contextualSpacing/>
    </w:pPr>
  </w:style>
  <w:style w:type="paragraph" w:styleId="Header">
    <w:name w:val="header"/>
    <w:basedOn w:val="Normal"/>
    <w:link w:val="HeaderChar"/>
    <w:uiPriority w:val="99"/>
    <w:unhideWhenUsed/>
    <w:rsid w:val="00E61C43"/>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C43"/>
  </w:style>
  <w:style w:type="paragraph" w:styleId="Footer">
    <w:name w:val="footer"/>
    <w:basedOn w:val="Normal"/>
    <w:link w:val="FooterChar"/>
    <w:uiPriority w:val="99"/>
    <w:unhideWhenUsed/>
    <w:rsid w:val="00E61C43"/>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C43"/>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iPriority w:val="99"/>
    <w:semiHidden/>
    <w:unhideWhenUsed/>
    <w:rsid w:val="00E61C43"/>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E61C43"/>
    <w:rPr>
      <w:sz w:val="20"/>
      <w:szCs w:val="20"/>
    </w:rPr>
  </w:style>
  <w:style w:type="character" w:styleId="FootnoteReference">
    <w:name w:val="footnote reference"/>
    <w:basedOn w:val="DefaultParagraphFont"/>
    <w:uiPriority w:val="99"/>
    <w:semiHidden/>
    <w:unhideWhenUsed/>
    <w:rsid w:val="00E61C43"/>
    <w:rPr>
      <w:vertAlign w:val="superscript"/>
    </w:rPr>
  </w:style>
  <w:style w:type="table" w:styleId="TableGrid">
    <w:name w:val="Table Grid"/>
    <w:basedOn w:val="TableNormal"/>
    <w:uiPriority w:val="39"/>
    <w:rsid w:val="00E61C4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E61C4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61C43"/>
    <w:rPr>
      <w:rFonts w:ascii="Tahoma" w:hAnsi="Tahoma" w:cs="Tahoma"/>
      <w:sz w:val="16"/>
      <w:szCs w:val="16"/>
    </w:rPr>
  </w:style>
  <w:style w:type="paragraph" w:styleId="ListParagraph">
    <w:name w:val="List Paragraph"/>
    <w:basedOn w:val="Normal"/>
    <w:uiPriority w:val="34"/>
    <w:qFormat/>
    <w:rsid w:val="00E61C43"/>
    <w:pPr>
      <w:ind w:left="720"/>
      <w:contextualSpacing/>
    </w:pPr>
  </w:style>
  <w:style w:type="paragraph" w:styleId="Header">
    <w:name w:val="header"/>
    <w:basedOn w:val="Normal"/>
    <w:link w:val="HeaderChar"/>
    <w:uiPriority w:val="99"/>
    <w:unhideWhenUsed/>
    <w:rsid w:val="00E61C43"/>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C43"/>
  </w:style>
  <w:style w:type="paragraph" w:styleId="Footer">
    <w:name w:val="footer"/>
    <w:basedOn w:val="Normal"/>
    <w:link w:val="FooterChar"/>
    <w:uiPriority w:val="99"/>
    <w:unhideWhenUsed/>
    <w:rsid w:val="00E61C43"/>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C4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yperlink" Target="http://tn.gov/health/health-program-areas/tcr.html" TargetMode="External"/><Relationship Id="rId4" Type="http://schemas.openxmlformats.org/officeDocument/2006/relationships/settings" Target="settings.xml"/><Relationship Id="rId9" Type="http://schemas.openxmlformats.org/officeDocument/2006/relationships/hyperlink" Target="https://www.tn.gov/health/health-program-areas/tcr.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10</Pages>
  <Words>2504</Words>
  <Characters>14274</Characters>
  <Application>Microsoft Office Word</Application>
  <DocSecurity>0</DocSecurity>
  <Lines>118</Lines>
  <Paragraphs>33</Paragraphs>
  <ScaleCrop>false</ScaleCrop>
  <HeadingPairs>
    <vt:vector size="2" baseType="variant">
      <vt:variant>
        <vt:lpstr>Title</vt:lpstr>
      </vt:variant>
      <vt:variant>
        <vt:i4>1</vt:i4>
      </vt:variant>
    </vt:vector>
  </HeadingPairs>
  <TitlesOfParts>
    <vt:vector size="1" baseType="lpstr">
      <vt:lpstr/>
    </vt:vector>
  </TitlesOfParts>
  <Company>State of Tennessee Dept. of Health</Company>
  <LinksUpToDate>false</LinksUpToDate>
  <CharactersWithSpaces>16745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Elizabeth Jones</dc:creator>
  <cp:lastModifiedBy>Elizabeth Jones</cp:lastModifiedBy>
  <cp:revision>1</cp:revision>
  <dcterms:created xsi:type="dcterms:W3CDTF">2020-03-13T13:44:00Z</dcterms:created>
  <dcterms:modified xsi:type="dcterms:W3CDTF">2020-03-13T13:47:00Z</dcterms:modified>
</cp:coreProperties>
</file>